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233" w:rsidRPr="000611AF" w:rsidRDefault="00A42233" w:rsidP="00A42233">
      <w:pPr>
        <w:jc w:val="center"/>
        <w:rPr>
          <w:rFonts w:eastAsia="Times"/>
          <w:noProof/>
          <w:sz w:val="36"/>
          <w:szCs w:val="20"/>
        </w:rPr>
      </w:pPr>
      <w:bookmarkStart w:id="0" w:name="_GoBack"/>
      <w:bookmarkEnd w:id="0"/>
      <w:r w:rsidRPr="000611AF">
        <w:rPr>
          <w:rFonts w:eastAsia="Times"/>
          <w:i/>
          <w:noProof/>
          <w:sz w:val="36"/>
          <w:szCs w:val="20"/>
        </w:rPr>
        <w:t>COMUNE DI</w:t>
      </w:r>
      <w:r w:rsidR="001A00BF" w:rsidRPr="000611AF">
        <w:rPr>
          <w:rFonts w:eastAsia="Times"/>
          <w:i/>
          <w:noProof/>
          <w:sz w:val="36"/>
          <w:szCs w:val="20"/>
        </w:rPr>
        <w:t>PERFUGAS</w:t>
      </w:r>
    </w:p>
    <w:p w:rsidR="00A42233" w:rsidRPr="000611AF" w:rsidRDefault="00A42233" w:rsidP="00A42233">
      <w:pPr>
        <w:spacing w:before="240"/>
        <w:jc w:val="center"/>
        <w:rPr>
          <w:rFonts w:eastAsia="Times"/>
          <w:noProof/>
          <w:sz w:val="20"/>
          <w:szCs w:val="20"/>
        </w:rPr>
      </w:pPr>
      <w:r w:rsidRPr="000611AF">
        <w:rPr>
          <w:rFonts w:eastAsia="Times"/>
          <w:i/>
          <w:noProof/>
          <w:sz w:val="28"/>
          <w:szCs w:val="20"/>
        </w:rPr>
        <w:t>PROVINCIA DI</w:t>
      </w:r>
      <w:r w:rsidR="00523CED" w:rsidRPr="000611AF">
        <w:rPr>
          <w:rFonts w:eastAsia="Times"/>
          <w:i/>
          <w:noProof/>
          <w:sz w:val="28"/>
          <w:szCs w:val="20"/>
        </w:rPr>
        <w:t xml:space="preserve"> SASSARI</w:t>
      </w:r>
    </w:p>
    <w:p w:rsidR="00A42233" w:rsidRPr="000611AF" w:rsidRDefault="00A42233" w:rsidP="00A42233">
      <w:pPr>
        <w:spacing w:before="240"/>
        <w:jc w:val="center"/>
        <w:rPr>
          <w:rFonts w:eastAsia="Times"/>
          <w:noProof/>
          <w:sz w:val="28"/>
          <w:szCs w:val="20"/>
        </w:rPr>
      </w:pPr>
    </w:p>
    <w:p w:rsidR="004874D1" w:rsidRPr="000611AF" w:rsidRDefault="004874D1">
      <w:pPr>
        <w:pStyle w:val="Titolo3"/>
        <w:rPr>
          <w:b/>
          <w:bCs/>
          <w:sz w:val="22"/>
          <w:szCs w:val="22"/>
        </w:rPr>
      </w:pPr>
      <w:r w:rsidRPr="000611AF">
        <w:rPr>
          <w:b/>
          <w:bCs/>
          <w:sz w:val="22"/>
          <w:szCs w:val="22"/>
        </w:rPr>
        <w:t>ORGANO DI REVISIONE ECONOMICO-FINANZIARIA</w:t>
      </w:r>
    </w:p>
    <w:p w:rsidR="004874D1" w:rsidRPr="000611AF" w:rsidRDefault="004874D1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10"/>
        <w:gridCol w:w="7368"/>
      </w:tblGrid>
      <w:tr w:rsidR="004874D1" w:rsidRPr="000611AF" w:rsidTr="009C7E19">
        <w:tc>
          <w:tcPr>
            <w:tcW w:w="2410" w:type="dxa"/>
            <w:shd w:val="clear" w:color="auto" w:fill="D9D9D9"/>
          </w:tcPr>
          <w:p w:rsidR="009C7E19" w:rsidRPr="000611AF" w:rsidRDefault="009C7E19">
            <w:pPr>
              <w:rPr>
                <w:sz w:val="20"/>
                <w:szCs w:val="20"/>
              </w:rPr>
            </w:pPr>
          </w:p>
          <w:p w:rsidR="004874D1" w:rsidRPr="000611AF" w:rsidRDefault="004874D1">
            <w:pPr>
              <w:rPr>
                <w:sz w:val="20"/>
                <w:szCs w:val="20"/>
              </w:rPr>
            </w:pPr>
            <w:r w:rsidRPr="000611AF">
              <w:rPr>
                <w:b/>
                <w:sz w:val="20"/>
                <w:szCs w:val="20"/>
              </w:rPr>
              <w:t>Verbale n</w:t>
            </w:r>
            <w:r w:rsidRPr="000611AF">
              <w:rPr>
                <w:sz w:val="20"/>
                <w:szCs w:val="20"/>
              </w:rPr>
              <w:t xml:space="preserve">. </w:t>
            </w:r>
            <w:r w:rsidR="00BD74B1">
              <w:rPr>
                <w:sz w:val="20"/>
                <w:szCs w:val="20"/>
              </w:rPr>
              <w:t>1</w:t>
            </w:r>
            <w:r w:rsidR="00EF785C">
              <w:rPr>
                <w:sz w:val="20"/>
                <w:szCs w:val="20"/>
              </w:rPr>
              <w:t>81</w:t>
            </w:r>
          </w:p>
          <w:p w:rsidR="004874D1" w:rsidRPr="000611AF" w:rsidRDefault="00BD74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F785C">
              <w:rPr>
                <w:sz w:val="20"/>
                <w:szCs w:val="20"/>
              </w:rPr>
              <w:t>7.11.2025</w:t>
            </w:r>
          </w:p>
        </w:tc>
        <w:tc>
          <w:tcPr>
            <w:tcW w:w="7368" w:type="dxa"/>
          </w:tcPr>
          <w:p w:rsidR="009C7E19" w:rsidRPr="000611AF" w:rsidRDefault="009C7E19">
            <w:pPr>
              <w:rPr>
                <w:sz w:val="20"/>
                <w:szCs w:val="20"/>
              </w:rPr>
            </w:pPr>
          </w:p>
          <w:p w:rsidR="004874D1" w:rsidRPr="000611AF" w:rsidRDefault="004874D1" w:rsidP="00BD74B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611AF">
              <w:rPr>
                <w:b/>
                <w:sz w:val="20"/>
                <w:szCs w:val="20"/>
              </w:rPr>
              <w:t>OGGETTO</w:t>
            </w:r>
            <w:r w:rsidRPr="000611AF">
              <w:rPr>
                <w:sz w:val="20"/>
                <w:szCs w:val="20"/>
              </w:rPr>
              <w:t xml:space="preserve">: </w:t>
            </w:r>
            <w:r w:rsidRPr="000611AF">
              <w:rPr>
                <w:b/>
                <w:sz w:val="20"/>
                <w:szCs w:val="20"/>
              </w:rPr>
              <w:t xml:space="preserve">Parere sulla proposta di </w:t>
            </w:r>
            <w:r w:rsidR="00BD74B1" w:rsidRPr="00BD74B1">
              <w:rPr>
                <w:b/>
                <w:sz w:val="20"/>
                <w:szCs w:val="20"/>
              </w:rPr>
              <w:t>variazione al bilancio di previsione finanziario 202</w:t>
            </w:r>
            <w:r w:rsidR="00BD74B1">
              <w:rPr>
                <w:b/>
                <w:sz w:val="20"/>
                <w:szCs w:val="20"/>
              </w:rPr>
              <w:t>5</w:t>
            </w:r>
            <w:r w:rsidR="00BD74B1" w:rsidRPr="00BD74B1">
              <w:rPr>
                <w:b/>
                <w:sz w:val="20"/>
                <w:szCs w:val="20"/>
              </w:rPr>
              <w:t>/202</w:t>
            </w:r>
            <w:r w:rsidR="00BD74B1">
              <w:rPr>
                <w:b/>
                <w:sz w:val="20"/>
                <w:szCs w:val="20"/>
              </w:rPr>
              <w:t>7</w:t>
            </w:r>
            <w:r w:rsidR="00BD74B1" w:rsidRPr="00BD74B1">
              <w:rPr>
                <w:b/>
                <w:sz w:val="20"/>
                <w:szCs w:val="20"/>
              </w:rPr>
              <w:t xml:space="preserve"> (art. 175, comma 2,</w:t>
            </w:r>
            <w:r w:rsidR="00BD74B1">
              <w:rPr>
                <w:b/>
                <w:sz w:val="20"/>
                <w:szCs w:val="20"/>
              </w:rPr>
              <w:t>d</w:t>
            </w:r>
            <w:r w:rsidR="00BD74B1" w:rsidRPr="00BD74B1">
              <w:rPr>
                <w:b/>
                <w:sz w:val="20"/>
                <w:szCs w:val="20"/>
              </w:rPr>
              <w:t>el d.lgs. n. 267/2000)</w:t>
            </w:r>
          </w:p>
        </w:tc>
      </w:tr>
    </w:tbl>
    <w:p w:rsidR="004874D1" w:rsidRPr="000611AF" w:rsidRDefault="004874D1" w:rsidP="00E846B0">
      <w:pPr>
        <w:spacing w:line="360" w:lineRule="auto"/>
        <w:jc w:val="both"/>
        <w:rPr>
          <w:sz w:val="20"/>
          <w:szCs w:val="20"/>
        </w:rPr>
      </w:pPr>
    </w:p>
    <w:p w:rsidR="00BD74B1" w:rsidRDefault="004874D1" w:rsidP="00620C46">
      <w:pPr>
        <w:spacing w:line="360" w:lineRule="auto"/>
        <w:jc w:val="both"/>
        <w:rPr>
          <w:b/>
          <w:sz w:val="20"/>
          <w:szCs w:val="20"/>
        </w:rPr>
      </w:pPr>
      <w:r w:rsidRPr="000611AF">
        <w:rPr>
          <w:sz w:val="20"/>
          <w:szCs w:val="20"/>
        </w:rPr>
        <w:t xml:space="preserve">L’anno </w:t>
      </w:r>
      <w:r w:rsidR="00D54545" w:rsidRPr="000611AF">
        <w:rPr>
          <w:sz w:val="20"/>
          <w:szCs w:val="20"/>
        </w:rPr>
        <w:t>20</w:t>
      </w:r>
      <w:r w:rsidR="001A00BF" w:rsidRPr="000611AF">
        <w:rPr>
          <w:sz w:val="20"/>
          <w:szCs w:val="20"/>
        </w:rPr>
        <w:t>2</w:t>
      </w:r>
      <w:r w:rsidR="00BD74B1">
        <w:rPr>
          <w:sz w:val="20"/>
          <w:szCs w:val="20"/>
        </w:rPr>
        <w:t>5</w:t>
      </w:r>
      <w:r w:rsidRPr="000611AF">
        <w:rPr>
          <w:sz w:val="20"/>
          <w:szCs w:val="20"/>
        </w:rPr>
        <w:t xml:space="preserve">, il giorno </w:t>
      </w:r>
      <w:r w:rsidR="00EF785C">
        <w:rPr>
          <w:sz w:val="20"/>
          <w:szCs w:val="20"/>
        </w:rPr>
        <w:t>27</w:t>
      </w:r>
      <w:r w:rsidRPr="000611AF">
        <w:rPr>
          <w:sz w:val="20"/>
          <w:szCs w:val="20"/>
        </w:rPr>
        <w:t xml:space="preserve">del mese di </w:t>
      </w:r>
      <w:r w:rsidR="00EF785C">
        <w:rPr>
          <w:sz w:val="20"/>
          <w:szCs w:val="20"/>
        </w:rPr>
        <w:t>novembre</w:t>
      </w:r>
      <w:r w:rsidRPr="000611AF">
        <w:rPr>
          <w:sz w:val="20"/>
          <w:szCs w:val="20"/>
        </w:rPr>
        <w:t xml:space="preserve">, alle ore </w:t>
      </w:r>
      <w:r w:rsidR="00EF785C">
        <w:rPr>
          <w:sz w:val="20"/>
          <w:szCs w:val="20"/>
        </w:rPr>
        <w:t>18.00</w:t>
      </w:r>
      <w:r w:rsidRPr="000611AF">
        <w:rPr>
          <w:sz w:val="20"/>
          <w:szCs w:val="20"/>
        </w:rPr>
        <w:t xml:space="preserve">, l’organo di </w:t>
      </w:r>
      <w:r w:rsidR="00EF785C">
        <w:rPr>
          <w:sz w:val="20"/>
          <w:szCs w:val="20"/>
        </w:rPr>
        <w:t>R</w:t>
      </w:r>
      <w:r w:rsidRPr="000611AF">
        <w:rPr>
          <w:sz w:val="20"/>
          <w:szCs w:val="20"/>
        </w:rPr>
        <w:t xml:space="preserve">evisione economico finanziaria </w:t>
      </w:r>
      <w:r w:rsidR="00D54545" w:rsidRPr="000611AF">
        <w:rPr>
          <w:sz w:val="20"/>
          <w:szCs w:val="20"/>
        </w:rPr>
        <w:t>ha proceduto ad</w:t>
      </w:r>
      <w:r w:rsidRPr="000611AF">
        <w:rPr>
          <w:sz w:val="20"/>
          <w:szCs w:val="20"/>
        </w:rPr>
        <w:t xml:space="preserve"> esprimere il proprio parere in merito alla variazione di bilancio contenuta nella proposta di deliberazione </w:t>
      </w:r>
      <w:r w:rsidR="001A00BF" w:rsidRPr="000611AF">
        <w:rPr>
          <w:sz w:val="20"/>
          <w:szCs w:val="20"/>
        </w:rPr>
        <w:t xml:space="preserve">avente </w:t>
      </w:r>
      <w:r w:rsidRPr="000611AF">
        <w:rPr>
          <w:sz w:val="20"/>
          <w:szCs w:val="20"/>
        </w:rPr>
        <w:t>ad oggetto:</w:t>
      </w:r>
      <w:r w:rsidR="00EF785C">
        <w:rPr>
          <w:sz w:val="20"/>
          <w:szCs w:val="20"/>
        </w:rPr>
        <w:t>V</w:t>
      </w:r>
      <w:r w:rsidR="00BD74B1" w:rsidRPr="00BD74B1">
        <w:rPr>
          <w:b/>
          <w:sz w:val="20"/>
          <w:szCs w:val="20"/>
        </w:rPr>
        <w:t>ariazione al bilancio di previsione finanziario 202</w:t>
      </w:r>
      <w:r w:rsidR="00BD74B1">
        <w:rPr>
          <w:b/>
          <w:sz w:val="20"/>
          <w:szCs w:val="20"/>
        </w:rPr>
        <w:t>5</w:t>
      </w:r>
      <w:r w:rsidR="00BD74B1" w:rsidRPr="00BD74B1">
        <w:rPr>
          <w:b/>
          <w:sz w:val="20"/>
          <w:szCs w:val="20"/>
        </w:rPr>
        <w:t>/202</w:t>
      </w:r>
      <w:r w:rsidR="00BD74B1">
        <w:rPr>
          <w:b/>
          <w:sz w:val="20"/>
          <w:szCs w:val="20"/>
        </w:rPr>
        <w:t>7</w:t>
      </w:r>
      <w:r w:rsidR="00BD74B1" w:rsidRPr="00BD74B1">
        <w:rPr>
          <w:b/>
          <w:sz w:val="20"/>
          <w:szCs w:val="20"/>
        </w:rPr>
        <w:t xml:space="preserve"> (art. 175, comma 2,</w:t>
      </w:r>
      <w:r w:rsidR="00BD74B1">
        <w:rPr>
          <w:b/>
          <w:sz w:val="20"/>
          <w:szCs w:val="20"/>
        </w:rPr>
        <w:t>d</w:t>
      </w:r>
      <w:r w:rsidR="00BD74B1" w:rsidRPr="00BD74B1">
        <w:rPr>
          <w:b/>
          <w:sz w:val="20"/>
          <w:szCs w:val="20"/>
        </w:rPr>
        <w:t>el d.lgs. n. 267/2000)</w:t>
      </w:r>
    </w:p>
    <w:p w:rsidR="00D934B5" w:rsidRPr="000611AF" w:rsidRDefault="009C7E19" w:rsidP="00620C46">
      <w:pPr>
        <w:spacing w:line="360" w:lineRule="auto"/>
        <w:jc w:val="both"/>
        <w:rPr>
          <w:sz w:val="20"/>
          <w:szCs w:val="20"/>
        </w:rPr>
      </w:pPr>
      <w:r w:rsidRPr="00BD74B1">
        <w:rPr>
          <w:b/>
          <w:bCs/>
          <w:sz w:val="20"/>
          <w:szCs w:val="20"/>
        </w:rPr>
        <w:t>Richiamato</w:t>
      </w:r>
      <w:r w:rsidRPr="000611AF">
        <w:rPr>
          <w:sz w:val="20"/>
          <w:szCs w:val="20"/>
        </w:rPr>
        <w:t xml:space="preserve"> l’art. 239, del </w:t>
      </w:r>
      <w:r w:rsidR="00535D37" w:rsidRPr="000611AF">
        <w:rPr>
          <w:sz w:val="20"/>
          <w:szCs w:val="20"/>
        </w:rPr>
        <w:t>D.Lgs.</w:t>
      </w:r>
      <w:r w:rsidRPr="000611AF">
        <w:rPr>
          <w:sz w:val="20"/>
          <w:szCs w:val="20"/>
        </w:rPr>
        <w:t xml:space="preserve"> n. 267/2000, come modificato dall’articolo 3 del </w:t>
      </w:r>
      <w:r w:rsidR="00535D37" w:rsidRPr="000611AF">
        <w:rPr>
          <w:sz w:val="20"/>
          <w:szCs w:val="20"/>
        </w:rPr>
        <w:t>decreto-legge</w:t>
      </w:r>
      <w:r w:rsidRPr="000611AF">
        <w:rPr>
          <w:sz w:val="20"/>
          <w:szCs w:val="20"/>
        </w:rPr>
        <w:t xml:space="preserve"> 10 ottobre 2012, n. 174, il quale prevede:</w:t>
      </w:r>
    </w:p>
    <w:p w:rsidR="009C7E19" w:rsidRPr="000611AF" w:rsidRDefault="009C7E19" w:rsidP="009C7E19">
      <w:pPr>
        <w:numPr>
          <w:ilvl w:val="0"/>
          <w:numId w:val="2"/>
        </w:numPr>
        <w:jc w:val="both"/>
        <w:rPr>
          <w:sz w:val="20"/>
          <w:szCs w:val="20"/>
        </w:rPr>
      </w:pPr>
      <w:r w:rsidRPr="000611AF">
        <w:rPr>
          <w:sz w:val="20"/>
          <w:szCs w:val="20"/>
        </w:rPr>
        <w:t>al comma 1, lettera b.2), che l’organo di revisione esprima un parere sulla proposta di bilancio di previsione, verifica degli equilibri e variazioni di bilancio;</w:t>
      </w:r>
    </w:p>
    <w:p w:rsidR="00D934B5" w:rsidRPr="00620C46" w:rsidRDefault="009C7E19" w:rsidP="006E7D37">
      <w:pPr>
        <w:numPr>
          <w:ilvl w:val="0"/>
          <w:numId w:val="2"/>
        </w:numPr>
        <w:jc w:val="both"/>
        <w:rPr>
          <w:sz w:val="20"/>
          <w:szCs w:val="20"/>
        </w:rPr>
      </w:pPr>
      <w:r w:rsidRPr="00620C46">
        <w:rPr>
          <w:sz w:val="20"/>
          <w:szCs w:val="20"/>
        </w:rPr>
        <w:t xml:space="preserve">al comma 1-bis), che </w:t>
      </w:r>
      <w:r w:rsidRPr="00620C46">
        <w:rPr>
          <w:rStyle w:val="provvnumart"/>
          <w:b w:val="0"/>
          <w:sz w:val="20"/>
          <w:szCs w:val="20"/>
        </w:rPr>
        <w:t>n</w:t>
      </w:r>
      <w:r w:rsidRPr="00620C46">
        <w:rPr>
          <w:sz w:val="20"/>
          <w:szCs w:val="20"/>
        </w:rPr>
        <w:t>ei pareri venga “</w:t>
      </w:r>
      <w:r w:rsidRPr="00620C46">
        <w:rPr>
          <w:i/>
          <w:sz w:val="20"/>
          <w:szCs w:val="20"/>
        </w:rPr>
        <w:t>espresso un motivato giudizio di congruità, di coerenza e di attendibilità contabile delle previsioni di bilancio e dei programmi e progetti, anche tenuto conto dell'attestazione del responsabile del servizio finanziario ai sensi dell'articolo 153, delle variazioni rispetto all'anno precedente, dell'applicazione dei parametri di deficitarietà strutturale e di ogni altro elemento utile. Nei pareri sono suggerite all'organo consiliare le misure atte ad assicurare l'attendibilità delle impostazioni. I pareri sono obbligatori</w:t>
      </w:r>
      <w:r w:rsidRPr="00620C46">
        <w:rPr>
          <w:sz w:val="20"/>
          <w:szCs w:val="20"/>
        </w:rPr>
        <w:t>”;</w:t>
      </w:r>
    </w:p>
    <w:p w:rsidR="00EF785C" w:rsidRDefault="007E450A" w:rsidP="00EF785C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911D58">
        <w:rPr>
          <w:b/>
          <w:bCs/>
          <w:sz w:val="20"/>
          <w:szCs w:val="20"/>
        </w:rPr>
        <w:t>Esaminata</w:t>
      </w:r>
      <w:r w:rsidRPr="000611AF">
        <w:rPr>
          <w:sz w:val="20"/>
          <w:szCs w:val="20"/>
        </w:rPr>
        <w:t xml:space="preserve"> la proposta di variazione al bilancio di previsione per l’esercizio 202</w:t>
      </w:r>
      <w:r w:rsidR="00BD74B1">
        <w:rPr>
          <w:sz w:val="20"/>
          <w:szCs w:val="20"/>
        </w:rPr>
        <w:t>5</w:t>
      </w:r>
      <w:r w:rsidRPr="000611AF">
        <w:rPr>
          <w:sz w:val="20"/>
          <w:szCs w:val="20"/>
        </w:rPr>
        <w:t>/202</w:t>
      </w:r>
      <w:r w:rsidR="00BD74B1">
        <w:rPr>
          <w:sz w:val="20"/>
          <w:szCs w:val="20"/>
        </w:rPr>
        <w:t>7</w:t>
      </w:r>
      <w:r w:rsidRPr="000611AF">
        <w:rPr>
          <w:sz w:val="20"/>
          <w:szCs w:val="20"/>
        </w:rPr>
        <w:t xml:space="preserve"> trasmessa dall’Ufficio Ragioneria,</w:t>
      </w:r>
    </w:p>
    <w:p w:rsidR="00EF785C" w:rsidRPr="00911D58" w:rsidRDefault="00EF785C" w:rsidP="00EF785C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911D58">
        <w:rPr>
          <w:b/>
          <w:bCs/>
          <w:sz w:val="20"/>
          <w:szCs w:val="20"/>
        </w:rPr>
        <w:t>Richiamate</w:t>
      </w:r>
      <w:r w:rsidRPr="00911D58">
        <w:rPr>
          <w:sz w:val="20"/>
          <w:szCs w:val="20"/>
        </w:rPr>
        <w:t xml:space="preserve"> le note di seguito indicate:</w:t>
      </w:r>
    </w:p>
    <w:p w:rsidR="00EF785C" w:rsidRPr="00911D58" w:rsidRDefault="00EF785C" w:rsidP="00EF785C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911D58">
        <w:rPr>
          <w:sz w:val="20"/>
          <w:szCs w:val="20"/>
        </w:rPr>
        <w:t>- del Responsabile del Settore Amministrativo prot. n. 10422/2025 e n. 10441/2025 con le quali si chiede di apportare variazioni al bilancio di previsione 2025/2027, al fine di adeguare alcune previsioni di entrata e di spesa;</w:t>
      </w:r>
    </w:p>
    <w:p w:rsidR="00EF785C" w:rsidRPr="00911D58" w:rsidRDefault="00EF785C" w:rsidP="00EF785C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911D58">
        <w:rPr>
          <w:sz w:val="20"/>
          <w:szCs w:val="20"/>
        </w:rPr>
        <w:t>- le note del Responsabile del Settore Tecnico Manutentivo Vigilanza Attività Produttive prot. n.10461/2025 e n. 10501/2025, con la quale si chiede di apportare variazioni al bilancio di previsione 2025/2027, al fine di adeguare alcuni stanziamenti di entrata e di spesa, tra cui:</w:t>
      </w:r>
    </w:p>
    <w:p w:rsidR="00EF785C" w:rsidRPr="00911D58" w:rsidRDefault="00EF785C" w:rsidP="00EF785C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911D58">
        <w:rPr>
          <w:sz w:val="20"/>
          <w:szCs w:val="20"/>
        </w:rPr>
        <w:t xml:space="preserve">  la predisposizione delle scritture contabili relative alla concessione di un contributo regionale assegnato a questo Ente per la gestione e manutenzione dei parchi urbani, per l’importo di € 40.000,00;</w:t>
      </w:r>
    </w:p>
    <w:p w:rsidR="00EF785C" w:rsidRPr="00911D58" w:rsidRDefault="00EF785C" w:rsidP="00EF785C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911D58">
        <w:rPr>
          <w:sz w:val="20"/>
          <w:szCs w:val="20"/>
        </w:rPr>
        <w:t xml:space="preserve"> l’adeguamento delle previsioni di entrate e di spesa relative alla gestione del servizio idrico considerato che, con decorrenza maggio 2025, la responsabilità delle infrastrutture idriche e fognarie del Comune di Perfugas è stata trasferita al gestore del Servizio idrico integrato Abbanoa S.p.A., giusta deliberazione di C.C. n. 11/2025;</w:t>
      </w:r>
    </w:p>
    <w:p w:rsidR="00EF785C" w:rsidRPr="00911D58" w:rsidRDefault="00EF785C" w:rsidP="00EF785C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911D58">
        <w:rPr>
          <w:sz w:val="20"/>
          <w:szCs w:val="20"/>
        </w:rPr>
        <w:t>- le note del Responsabile del Settore Socio Assistenziale e Culturale prot. n. 10546/2025, n. 10570 e n. 10613/2025 con le quale si chiede di apportare variazioni al bilancio di previsione 2025/2027, al fine di adeguare alcuni stanziamenti di entrata e di spesa;</w:t>
      </w:r>
    </w:p>
    <w:p w:rsidR="00EF785C" w:rsidRPr="00911D58" w:rsidRDefault="00EF785C" w:rsidP="00EF785C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EF785C" w:rsidRPr="00911D58" w:rsidRDefault="00EF785C" w:rsidP="00EF785C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911D58">
        <w:rPr>
          <w:b/>
          <w:bCs/>
          <w:sz w:val="20"/>
          <w:szCs w:val="20"/>
        </w:rPr>
        <w:t>Dato atto, inoltre che</w:t>
      </w:r>
      <w:r w:rsidRPr="00911D58">
        <w:rPr>
          <w:sz w:val="20"/>
          <w:szCs w:val="20"/>
        </w:rPr>
        <w:t>:</w:t>
      </w:r>
    </w:p>
    <w:p w:rsidR="00EF785C" w:rsidRPr="00911D58" w:rsidRDefault="00EF785C" w:rsidP="00EF785C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911D58">
        <w:rPr>
          <w:sz w:val="20"/>
          <w:szCs w:val="20"/>
        </w:rPr>
        <w:t>- l’Ente risulta assegnatario di un contributo relativo alle sanzioni catastali, ai sensi dell’art. 2,comma 12, del D.Lgs. n. 23/2011, per un importo pari a € 9.103,50, come rilevabile dal sistema della Direzione Centrale per la Finanza Locale del Ministero dell’Interno (sezione “Trasferimenti erariali e attribuzione di risorse;</w:t>
      </w:r>
    </w:p>
    <w:p w:rsidR="00EF785C" w:rsidRPr="00911D58" w:rsidRDefault="00EF785C" w:rsidP="00EF785C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911D58">
        <w:rPr>
          <w:sz w:val="20"/>
          <w:szCs w:val="20"/>
        </w:rPr>
        <w:t>- a seguito della predisposizione del fondo risorse decentrate anno 2025 si rende necessario adeguare gli stanziamenti di spesa relativi al salario accessorio del personale dipendente;</w:t>
      </w:r>
    </w:p>
    <w:p w:rsidR="00EF785C" w:rsidRPr="00911D58" w:rsidRDefault="00EF785C" w:rsidP="00EF785C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EF785C" w:rsidRPr="00911D58" w:rsidRDefault="00EF785C" w:rsidP="00EF785C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911D58">
        <w:rPr>
          <w:b/>
          <w:bCs/>
          <w:sz w:val="20"/>
          <w:szCs w:val="20"/>
        </w:rPr>
        <w:t>Dato atto che</w:t>
      </w:r>
      <w:r w:rsidRPr="00911D58">
        <w:rPr>
          <w:sz w:val="20"/>
          <w:szCs w:val="20"/>
        </w:rPr>
        <w:t xml:space="preserve"> con deliberazione di Consiglio comunale n. 14 del 22.05.2025 si è provveduto ad approvare il risultato di amministrazione 2024, dalle cui risultanze si rileva un avanzo di amministrazione accertato al 31.12.2024 di €. 6.247.227,41 così composto:</w:t>
      </w:r>
    </w:p>
    <w:p w:rsidR="00EF785C" w:rsidRPr="00911D58" w:rsidRDefault="00EF785C" w:rsidP="00EF785C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911D58">
        <w:rPr>
          <w:sz w:val="20"/>
          <w:szCs w:val="20"/>
        </w:rPr>
        <w:t>- fondi accantonati € 2.077.318,31;</w:t>
      </w:r>
    </w:p>
    <w:p w:rsidR="00EF785C" w:rsidRPr="00911D58" w:rsidRDefault="00EF785C" w:rsidP="00EF785C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911D58">
        <w:rPr>
          <w:sz w:val="20"/>
          <w:szCs w:val="20"/>
        </w:rPr>
        <w:t>- fondi vincolati € 3.803.889,93;</w:t>
      </w:r>
    </w:p>
    <w:p w:rsidR="00EF785C" w:rsidRPr="00911D58" w:rsidRDefault="00EF785C" w:rsidP="00EF785C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911D58">
        <w:rPr>
          <w:sz w:val="20"/>
          <w:szCs w:val="20"/>
        </w:rPr>
        <w:t>- fondi destinati agli investimenti € 14.671,94;</w:t>
      </w:r>
    </w:p>
    <w:p w:rsidR="00EF785C" w:rsidRPr="00911D58" w:rsidRDefault="00EF785C" w:rsidP="00EF785C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911D58">
        <w:rPr>
          <w:sz w:val="20"/>
          <w:szCs w:val="20"/>
        </w:rPr>
        <w:t>- fondi liberi € 351.347,23.</w:t>
      </w:r>
    </w:p>
    <w:p w:rsidR="00EF785C" w:rsidRPr="00911D58" w:rsidRDefault="00EF785C" w:rsidP="00EF785C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911D58">
        <w:rPr>
          <w:b/>
          <w:bCs/>
          <w:sz w:val="20"/>
          <w:szCs w:val="20"/>
        </w:rPr>
        <w:t>Vist</w:t>
      </w:r>
      <w:r w:rsidR="00911D58" w:rsidRPr="00911D58">
        <w:rPr>
          <w:b/>
          <w:bCs/>
          <w:sz w:val="20"/>
          <w:szCs w:val="20"/>
        </w:rPr>
        <w:t>e</w:t>
      </w:r>
      <w:r w:rsidRPr="00911D58">
        <w:rPr>
          <w:sz w:val="20"/>
          <w:szCs w:val="20"/>
        </w:rPr>
        <w:t xml:space="preserve"> le note del Responsabile del Settore Amministrativo:</w:t>
      </w:r>
    </w:p>
    <w:p w:rsidR="00EF785C" w:rsidRPr="00911D58" w:rsidRDefault="00EF785C" w:rsidP="00EF785C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911D58">
        <w:rPr>
          <w:sz w:val="20"/>
          <w:szCs w:val="20"/>
        </w:rPr>
        <w:t>- prot. n. 10422 del 17.11.2025 con la quale si chiede l’applicazione di una quota della parte vincolata del risultato di amministrazione pari ad € 1.272,88, relativa al contributo della Regione Sardegna per l’assegnazione di borse di studio a sostegno delle spese per le famiglie ad integrazione delle risorse attribuite per l’A.S. 2024/2025;</w:t>
      </w:r>
    </w:p>
    <w:p w:rsidR="00EF785C" w:rsidRPr="00911D58" w:rsidRDefault="00EF785C" w:rsidP="00EF785C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911D58">
        <w:rPr>
          <w:sz w:val="20"/>
          <w:szCs w:val="20"/>
        </w:rPr>
        <w:t xml:space="preserve">- prot. n. 10235 del 12.11.2025 con la quale si richiede l’applicazione di una quota della parte vincolata del risultato di amministrazione, pari a € 6.710,00, quale utilizzo delle economie disponibili relative al contributo PNRR M1 C1 INV </w:t>
      </w:r>
      <w:r w:rsidRPr="00911D58">
        <w:rPr>
          <w:sz w:val="20"/>
          <w:szCs w:val="20"/>
        </w:rPr>
        <w:lastRenderedPageBreak/>
        <w:t>1.2 (CUP G91C22000570006) – Abilitazione al cloud per le PA locali, già accertate e utilizzabili per le finalità previste dal progetto”;</w:t>
      </w:r>
    </w:p>
    <w:p w:rsidR="00EF785C" w:rsidRPr="00911D58" w:rsidRDefault="00EF785C" w:rsidP="00EF785C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911D58">
        <w:rPr>
          <w:b/>
          <w:bCs/>
          <w:sz w:val="20"/>
          <w:szCs w:val="20"/>
        </w:rPr>
        <w:t>Vista</w:t>
      </w:r>
      <w:r w:rsidRPr="00911D58">
        <w:rPr>
          <w:sz w:val="20"/>
          <w:szCs w:val="20"/>
        </w:rPr>
        <w:t xml:space="preserve"> la nota del Responsabile del Settore Tecnico Manutentivo Vigilanza Attività Produttive: - prot. n. 5094/2025 con la quale si chiede l’applicazione di una quota della parte vincolata del risultato di amministrazione pari ad € 18.922,00;</w:t>
      </w:r>
    </w:p>
    <w:p w:rsidR="00EF785C" w:rsidRPr="00911D58" w:rsidRDefault="00EF785C" w:rsidP="00EF785C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911D58">
        <w:rPr>
          <w:sz w:val="20"/>
          <w:szCs w:val="20"/>
        </w:rPr>
        <w:t>- prot. n. 10236 del 12.11.2025 con la quale si chiede l’applicazione di una quota della parte vincolata del risultato di amministrazione pari ad € 10.652,54, relativa al contributo della Regione Sardegna per l’implementazione fascicolo informatico immobili pubblici;</w:t>
      </w:r>
    </w:p>
    <w:p w:rsidR="00EF785C" w:rsidRPr="00911D58" w:rsidRDefault="00EF785C" w:rsidP="00EF785C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911D58">
        <w:rPr>
          <w:b/>
          <w:bCs/>
          <w:sz w:val="20"/>
          <w:szCs w:val="20"/>
        </w:rPr>
        <w:t xml:space="preserve">Vista </w:t>
      </w:r>
      <w:r w:rsidRPr="00911D58">
        <w:rPr>
          <w:sz w:val="20"/>
          <w:szCs w:val="20"/>
        </w:rPr>
        <w:t>la nota del Responsabile del Settore Socio Assistenziale e Culturale : prot. n. 10613/2005 con la quale si chiede l’applicazione di una quota della parte vincolata del risultato di amministrazione pari ad € 3.915,25, relativa al contributo Ministeriale assistenza autonomia e comunicazione alunni disabili;</w:t>
      </w:r>
    </w:p>
    <w:p w:rsidR="00EF785C" w:rsidRPr="00911D58" w:rsidRDefault="00EF785C" w:rsidP="00EF785C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911D58">
        <w:rPr>
          <w:b/>
          <w:bCs/>
          <w:sz w:val="20"/>
          <w:szCs w:val="20"/>
        </w:rPr>
        <w:t>Richiamato</w:t>
      </w:r>
      <w:r w:rsidRPr="00911D58">
        <w:rPr>
          <w:sz w:val="20"/>
          <w:szCs w:val="20"/>
        </w:rPr>
        <w:t xml:space="preserve"> l’art. 175 del D.Lgs. n. 267/2000, come modificato dal D.Lgs. n. 118/2011, il quale prevede, ai commi 1 e 2, che il bilancio di previsione può subire variazioni, in termini di competenza e di cassa, sia nella parte entrata che nella parte spesa, per ciascuno degli esercizi considerati, con deliberazione di Consiglio Comunale da adottarsi entro il 30 novembre di ciascun anno;</w:t>
      </w:r>
    </w:p>
    <w:p w:rsidR="00EF785C" w:rsidRPr="00911D58" w:rsidRDefault="00EF785C" w:rsidP="00EF785C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911D58">
        <w:rPr>
          <w:b/>
          <w:bCs/>
          <w:sz w:val="20"/>
          <w:szCs w:val="20"/>
        </w:rPr>
        <w:t>Visti</w:t>
      </w:r>
      <w:r w:rsidRPr="00911D58">
        <w:rPr>
          <w:sz w:val="20"/>
          <w:szCs w:val="20"/>
        </w:rPr>
        <w:t xml:space="preserve"> i prospetti riportati in allegato contenenti l’elenco delle variazioni di competenza e di cassa daapportare al bilancio di previsione finanziario 2025/2027, esercizi 2025 e 2026;</w:t>
      </w:r>
    </w:p>
    <w:p w:rsidR="00EF785C" w:rsidRPr="00911D58" w:rsidRDefault="00EF785C" w:rsidP="00EF785C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911D58">
        <w:rPr>
          <w:sz w:val="20"/>
          <w:szCs w:val="20"/>
        </w:rPr>
        <w:t>Dato atto che il responsabile del Settore Finanziario ha redatto la proposta di variazione al bilanciosulla scorta delle indicazioni fornite dai Responsabili di Settore;</w:t>
      </w:r>
    </w:p>
    <w:p w:rsidR="000C5297" w:rsidRDefault="00EF785C" w:rsidP="00EF785C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911D58">
        <w:rPr>
          <w:sz w:val="20"/>
          <w:szCs w:val="20"/>
        </w:rPr>
        <w:t>Verificato che le variazioni in esame di competenza e di cassa del Bilancio 2025/2027, garantiscono ilpermanere degli equilibri di bilancio;</w:t>
      </w:r>
    </w:p>
    <w:p w:rsidR="00BD74B1" w:rsidRPr="00161A8A" w:rsidRDefault="00BD74B1" w:rsidP="00BD74B1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161A8A">
        <w:rPr>
          <w:sz w:val="20"/>
          <w:szCs w:val="20"/>
        </w:rPr>
        <w:t xml:space="preserve">Visti i prospetti riportati in allegato contenenti l’elenco delle variazioni di competenza e di cassa daapportare al bilancio di previsione finanziario 2025/2027, </w:t>
      </w:r>
    </w:p>
    <w:p w:rsidR="007E450A" w:rsidRDefault="00BD74B1" w:rsidP="008E3D49">
      <w:pPr>
        <w:spacing w:line="360" w:lineRule="auto"/>
        <w:jc w:val="both"/>
        <w:rPr>
          <w:sz w:val="20"/>
          <w:szCs w:val="20"/>
        </w:rPr>
      </w:pPr>
      <w:r w:rsidRPr="00161A8A">
        <w:rPr>
          <w:sz w:val="20"/>
          <w:szCs w:val="20"/>
        </w:rPr>
        <w:t xml:space="preserve">Dato atto che il responsabile del Settore Finanziario ha redatto la proposta di variazione </w:t>
      </w:r>
      <w:r w:rsidR="00161A8A">
        <w:rPr>
          <w:sz w:val="20"/>
          <w:szCs w:val="20"/>
        </w:rPr>
        <w:t>come di seguito riportata per ogni annualità :</w:t>
      </w:r>
    </w:p>
    <w:tbl>
      <w:tblPr>
        <w:tblW w:w="5200" w:type="dxa"/>
        <w:jc w:val="center"/>
        <w:tblCellMar>
          <w:left w:w="70" w:type="dxa"/>
          <w:right w:w="70" w:type="dxa"/>
        </w:tblCellMar>
        <w:tblLook w:val="04A0"/>
      </w:tblPr>
      <w:tblGrid>
        <w:gridCol w:w="1300"/>
        <w:gridCol w:w="1300"/>
        <w:gridCol w:w="1300"/>
        <w:gridCol w:w="1300"/>
      </w:tblGrid>
      <w:tr w:rsidR="00620C46" w:rsidRPr="00161A8A" w:rsidTr="00620C46">
        <w:trPr>
          <w:trHeight w:val="300"/>
          <w:jc w:val="center"/>
        </w:trPr>
        <w:tc>
          <w:tcPr>
            <w:tcW w:w="520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0C5297" w:rsidRDefault="000C5297">
            <w:pPr>
              <w:jc w:val="center"/>
              <w:rPr>
                <w:sz w:val="20"/>
                <w:szCs w:val="20"/>
              </w:rPr>
            </w:pPr>
          </w:p>
          <w:p w:rsidR="00161A8A" w:rsidRDefault="00161A8A">
            <w:pPr>
              <w:jc w:val="center"/>
              <w:rPr>
                <w:sz w:val="20"/>
                <w:szCs w:val="20"/>
              </w:rPr>
            </w:pPr>
          </w:p>
          <w:p w:rsidR="00161A8A" w:rsidRDefault="00161A8A">
            <w:pPr>
              <w:jc w:val="center"/>
              <w:rPr>
                <w:sz w:val="20"/>
                <w:szCs w:val="20"/>
              </w:rPr>
            </w:pPr>
          </w:p>
          <w:p w:rsidR="00161A8A" w:rsidRDefault="00161A8A">
            <w:pPr>
              <w:jc w:val="center"/>
              <w:rPr>
                <w:sz w:val="20"/>
                <w:szCs w:val="20"/>
              </w:rPr>
            </w:pPr>
          </w:p>
          <w:p w:rsidR="00161A8A" w:rsidRDefault="00161A8A">
            <w:pPr>
              <w:jc w:val="center"/>
              <w:rPr>
                <w:sz w:val="20"/>
                <w:szCs w:val="20"/>
              </w:rPr>
            </w:pPr>
          </w:p>
          <w:p w:rsidR="00161A8A" w:rsidRPr="00161A8A" w:rsidRDefault="00161A8A">
            <w:pPr>
              <w:jc w:val="center"/>
              <w:rPr>
                <w:sz w:val="20"/>
                <w:szCs w:val="20"/>
              </w:rPr>
            </w:pPr>
          </w:p>
          <w:p w:rsidR="00620C46" w:rsidRPr="00161A8A" w:rsidRDefault="00620C46">
            <w:pPr>
              <w:jc w:val="center"/>
              <w:rPr>
                <w:sz w:val="20"/>
                <w:szCs w:val="20"/>
              </w:rPr>
            </w:pPr>
            <w:r w:rsidRPr="00161A8A">
              <w:rPr>
                <w:sz w:val="20"/>
                <w:szCs w:val="20"/>
              </w:rPr>
              <w:t>202</w:t>
            </w:r>
            <w:r w:rsidR="000C5297" w:rsidRPr="00161A8A">
              <w:rPr>
                <w:sz w:val="20"/>
                <w:szCs w:val="20"/>
              </w:rPr>
              <w:t>5</w:t>
            </w:r>
          </w:p>
        </w:tc>
      </w:tr>
      <w:tr w:rsidR="00620C46" w:rsidRPr="00161A8A" w:rsidTr="00620C46">
        <w:trPr>
          <w:trHeight w:val="300"/>
          <w:jc w:val="center"/>
        </w:trPr>
        <w:tc>
          <w:tcPr>
            <w:tcW w:w="26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20C46" w:rsidRPr="00161A8A" w:rsidRDefault="00620C46">
            <w:pPr>
              <w:jc w:val="center"/>
              <w:rPr>
                <w:sz w:val="20"/>
                <w:szCs w:val="20"/>
              </w:rPr>
            </w:pPr>
            <w:r w:rsidRPr="00161A8A">
              <w:rPr>
                <w:sz w:val="20"/>
                <w:szCs w:val="20"/>
              </w:rPr>
              <w:t>ENTRATA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C46" w:rsidRPr="00161A8A" w:rsidRDefault="00620C46">
            <w:pPr>
              <w:jc w:val="center"/>
              <w:rPr>
                <w:sz w:val="20"/>
                <w:szCs w:val="20"/>
              </w:rPr>
            </w:pPr>
            <w:r w:rsidRPr="00161A8A">
              <w:rPr>
                <w:sz w:val="20"/>
                <w:szCs w:val="20"/>
              </w:rPr>
              <w:t>Importo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C46" w:rsidRPr="00161A8A" w:rsidRDefault="00620C46">
            <w:pPr>
              <w:jc w:val="center"/>
              <w:rPr>
                <w:sz w:val="20"/>
                <w:szCs w:val="20"/>
              </w:rPr>
            </w:pPr>
            <w:r w:rsidRPr="00161A8A">
              <w:rPr>
                <w:sz w:val="20"/>
                <w:szCs w:val="20"/>
              </w:rPr>
              <w:t>Importo</w:t>
            </w:r>
          </w:p>
        </w:tc>
      </w:tr>
      <w:tr w:rsidR="00620C46" w:rsidRPr="00161A8A" w:rsidTr="00620C46">
        <w:trPr>
          <w:trHeight w:val="300"/>
          <w:jc w:val="center"/>
        </w:trPr>
        <w:tc>
          <w:tcPr>
            <w:tcW w:w="1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0C46" w:rsidRPr="00161A8A" w:rsidRDefault="00620C46">
            <w:pPr>
              <w:rPr>
                <w:sz w:val="20"/>
                <w:szCs w:val="20"/>
              </w:rPr>
            </w:pPr>
            <w:r w:rsidRPr="00161A8A">
              <w:rPr>
                <w:sz w:val="20"/>
                <w:szCs w:val="20"/>
              </w:rPr>
              <w:t>Variazioni in aumento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C46" w:rsidRPr="00161A8A" w:rsidRDefault="00620C46">
            <w:pPr>
              <w:jc w:val="center"/>
              <w:rPr>
                <w:sz w:val="20"/>
                <w:szCs w:val="20"/>
              </w:rPr>
            </w:pPr>
            <w:r w:rsidRPr="00161A8A">
              <w:rPr>
                <w:sz w:val="20"/>
                <w:szCs w:val="20"/>
              </w:rPr>
              <w:t>CO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C46" w:rsidRPr="00161A8A" w:rsidRDefault="00620C46">
            <w:pPr>
              <w:jc w:val="right"/>
              <w:rPr>
                <w:sz w:val="20"/>
                <w:szCs w:val="20"/>
              </w:rPr>
            </w:pPr>
            <w:r w:rsidRPr="00161A8A">
              <w:rPr>
                <w:sz w:val="20"/>
                <w:szCs w:val="20"/>
              </w:rPr>
              <w:t xml:space="preserve">€ </w:t>
            </w:r>
            <w:r w:rsidR="008E3D49">
              <w:rPr>
                <w:sz w:val="20"/>
                <w:szCs w:val="20"/>
              </w:rPr>
              <w:t>245.665,00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620C46" w:rsidRPr="00161A8A" w:rsidRDefault="00620C46">
            <w:pPr>
              <w:jc w:val="right"/>
              <w:rPr>
                <w:sz w:val="20"/>
                <w:szCs w:val="20"/>
              </w:rPr>
            </w:pPr>
            <w:r w:rsidRPr="00161A8A">
              <w:rPr>
                <w:sz w:val="20"/>
                <w:szCs w:val="20"/>
              </w:rPr>
              <w:t> </w:t>
            </w:r>
          </w:p>
        </w:tc>
      </w:tr>
      <w:tr w:rsidR="00620C46" w:rsidRPr="00161A8A" w:rsidTr="00620C46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0C46" w:rsidRPr="00161A8A" w:rsidRDefault="00620C46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C46" w:rsidRPr="00161A8A" w:rsidRDefault="00620C46">
            <w:pPr>
              <w:jc w:val="center"/>
              <w:rPr>
                <w:sz w:val="20"/>
                <w:szCs w:val="20"/>
              </w:rPr>
            </w:pPr>
            <w:r w:rsidRPr="00161A8A">
              <w:rPr>
                <w:sz w:val="20"/>
                <w:szCs w:val="20"/>
              </w:rPr>
              <w:t>CA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C46" w:rsidRPr="00161A8A" w:rsidRDefault="00620C46">
            <w:pPr>
              <w:jc w:val="right"/>
              <w:rPr>
                <w:sz w:val="20"/>
                <w:szCs w:val="20"/>
              </w:rPr>
            </w:pPr>
            <w:r w:rsidRPr="00161A8A">
              <w:rPr>
                <w:sz w:val="20"/>
                <w:szCs w:val="20"/>
              </w:rPr>
              <w:t xml:space="preserve">€ </w:t>
            </w:r>
            <w:r w:rsidR="008E3D49">
              <w:rPr>
                <w:sz w:val="20"/>
                <w:szCs w:val="20"/>
              </w:rPr>
              <w:t>122.031,52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620C46" w:rsidRPr="00161A8A" w:rsidRDefault="00620C46">
            <w:pPr>
              <w:jc w:val="right"/>
              <w:rPr>
                <w:sz w:val="20"/>
                <w:szCs w:val="20"/>
              </w:rPr>
            </w:pPr>
            <w:r w:rsidRPr="00161A8A">
              <w:rPr>
                <w:sz w:val="20"/>
                <w:szCs w:val="20"/>
              </w:rPr>
              <w:t> </w:t>
            </w:r>
          </w:p>
        </w:tc>
      </w:tr>
      <w:tr w:rsidR="00620C46" w:rsidRPr="00161A8A" w:rsidTr="00620C46">
        <w:trPr>
          <w:trHeight w:val="300"/>
          <w:jc w:val="center"/>
        </w:trPr>
        <w:tc>
          <w:tcPr>
            <w:tcW w:w="1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0C46" w:rsidRPr="00161A8A" w:rsidRDefault="00620C46">
            <w:pPr>
              <w:rPr>
                <w:sz w:val="20"/>
                <w:szCs w:val="20"/>
              </w:rPr>
            </w:pPr>
            <w:r w:rsidRPr="00161A8A">
              <w:rPr>
                <w:sz w:val="20"/>
                <w:szCs w:val="20"/>
              </w:rPr>
              <w:t>Variazioni in diminuzione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C46" w:rsidRPr="00161A8A" w:rsidRDefault="00620C46">
            <w:pPr>
              <w:jc w:val="center"/>
              <w:rPr>
                <w:sz w:val="20"/>
                <w:szCs w:val="20"/>
              </w:rPr>
            </w:pPr>
            <w:r w:rsidRPr="00161A8A">
              <w:rPr>
                <w:sz w:val="20"/>
                <w:szCs w:val="20"/>
              </w:rPr>
              <w:t>CO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620C46" w:rsidRPr="00161A8A" w:rsidRDefault="00620C46">
            <w:pPr>
              <w:jc w:val="right"/>
              <w:rPr>
                <w:sz w:val="20"/>
                <w:szCs w:val="20"/>
              </w:rPr>
            </w:pPr>
            <w:r w:rsidRPr="00161A8A">
              <w:rPr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C46" w:rsidRPr="00161A8A" w:rsidRDefault="008E3D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28.479,84</w:t>
            </w:r>
          </w:p>
        </w:tc>
      </w:tr>
      <w:tr w:rsidR="00620C46" w:rsidRPr="00161A8A" w:rsidTr="00620C46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0C46" w:rsidRPr="00161A8A" w:rsidRDefault="00620C46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C46" w:rsidRPr="00161A8A" w:rsidRDefault="00620C46">
            <w:pPr>
              <w:jc w:val="center"/>
              <w:rPr>
                <w:sz w:val="20"/>
                <w:szCs w:val="20"/>
              </w:rPr>
            </w:pPr>
            <w:r w:rsidRPr="00161A8A">
              <w:rPr>
                <w:sz w:val="20"/>
                <w:szCs w:val="20"/>
              </w:rPr>
              <w:t>CA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620C46" w:rsidRPr="00161A8A" w:rsidRDefault="00620C46">
            <w:pPr>
              <w:jc w:val="right"/>
              <w:rPr>
                <w:sz w:val="20"/>
                <w:szCs w:val="20"/>
              </w:rPr>
            </w:pPr>
            <w:r w:rsidRPr="00161A8A">
              <w:rPr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C46" w:rsidRPr="00161A8A" w:rsidRDefault="008E3D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28.479,84</w:t>
            </w:r>
          </w:p>
        </w:tc>
      </w:tr>
      <w:tr w:rsidR="00620C46" w:rsidRPr="00161A8A" w:rsidTr="00620C46">
        <w:trPr>
          <w:trHeight w:val="300"/>
          <w:jc w:val="center"/>
        </w:trPr>
        <w:tc>
          <w:tcPr>
            <w:tcW w:w="26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620C46" w:rsidRPr="00161A8A" w:rsidRDefault="00620C46">
            <w:pPr>
              <w:jc w:val="center"/>
              <w:rPr>
                <w:sz w:val="20"/>
                <w:szCs w:val="20"/>
              </w:rPr>
            </w:pPr>
            <w:r w:rsidRPr="00161A8A">
              <w:rPr>
                <w:sz w:val="20"/>
                <w:szCs w:val="20"/>
              </w:rPr>
              <w:t>SPESA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620C46" w:rsidRPr="00161A8A" w:rsidRDefault="00620C46">
            <w:pPr>
              <w:jc w:val="right"/>
              <w:rPr>
                <w:sz w:val="20"/>
                <w:szCs w:val="20"/>
              </w:rPr>
            </w:pPr>
            <w:r w:rsidRPr="00161A8A">
              <w:rPr>
                <w:sz w:val="20"/>
                <w:szCs w:val="20"/>
              </w:rPr>
              <w:t>Importo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620C46" w:rsidRPr="00161A8A" w:rsidRDefault="00620C46">
            <w:pPr>
              <w:jc w:val="right"/>
              <w:rPr>
                <w:sz w:val="20"/>
                <w:szCs w:val="20"/>
              </w:rPr>
            </w:pPr>
            <w:r w:rsidRPr="00161A8A">
              <w:rPr>
                <w:sz w:val="20"/>
                <w:szCs w:val="20"/>
              </w:rPr>
              <w:t>Importo</w:t>
            </w:r>
          </w:p>
        </w:tc>
      </w:tr>
      <w:tr w:rsidR="00620C46" w:rsidRPr="00161A8A" w:rsidTr="00620C46">
        <w:trPr>
          <w:trHeight w:val="300"/>
          <w:jc w:val="center"/>
        </w:trPr>
        <w:tc>
          <w:tcPr>
            <w:tcW w:w="1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0C46" w:rsidRPr="00161A8A" w:rsidRDefault="00620C46">
            <w:pPr>
              <w:rPr>
                <w:sz w:val="20"/>
                <w:szCs w:val="20"/>
              </w:rPr>
            </w:pPr>
            <w:r w:rsidRPr="00161A8A">
              <w:rPr>
                <w:sz w:val="20"/>
                <w:szCs w:val="20"/>
              </w:rPr>
              <w:t>Variazioni in aumento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C46" w:rsidRPr="00161A8A" w:rsidRDefault="00620C46">
            <w:pPr>
              <w:jc w:val="center"/>
              <w:rPr>
                <w:sz w:val="20"/>
                <w:szCs w:val="20"/>
              </w:rPr>
            </w:pPr>
            <w:r w:rsidRPr="00161A8A">
              <w:rPr>
                <w:sz w:val="20"/>
                <w:szCs w:val="20"/>
              </w:rPr>
              <w:t>CO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C46" w:rsidRPr="00161A8A" w:rsidRDefault="00620C46">
            <w:pPr>
              <w:jc w:val="right"/>
              <w:rPr>
                <w:sz w:val="20"/>
                <w:szCs w:val="20"/>
              </w:rPr>
            </w:pPr>
            <w:r w:rsidRPr="00161A8A">
              <w:rPr>
                <w:sz w:val="20"/>
                <w:szCs w:val="20"/>
              </w:rPr>
              <w:t>€</w:t>
            </w:r>
            <w:r w:rsidR="008E3D49">
              <w:rPr>
                <w:sz w:val="20"/>
                <w:szCs w:val="20"/>
              </w:rPr>
              <w:t xml:space="preserve"> 290.452,81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620C46" w:rsidRPr="00161A8A" w:rsidRDefault="00620C46">
            <w:pPr>
              <w:jc w:val="right"/>
              <w:rPr>
                <w:sz w:val="20"/>
                <w:szCs w:val="20"/>
              </w:rPr>
            </w:pPr>
            <w:r w:rsidRPr="00161A8A">
              <w:rPr>
                <w:sz w:val="20"/>
                <w:szCs w:val="20"/>
              </w:rPr>
              <w:t> </w:t>
            </w:r>
          </w:p>
        </w:tc>
      </w:tr>
      <w:tr w:rsidR="00620C46" w:rsidRPr="00161A8A" w:rsidTr="00620C46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0C46" w:rsidRPr="00161A8A" w:rsidRDefault="00620C46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C46" w:rsidRPr="00161A8A" w:rsidRDefault="00620C46">
            <w:pPr>
              <w:jc w:val="center"/>
              <w:rPr>
                <w:sz w:val="20"/>
                <w:szCs w:val="20"/>
              </w:rPr>
            </w:pPr>
            <w:r w:rsidRPr="00161A8A">
              <w:rPr>
                <w:sz w:val="20"/>
                <w:szCs w:val="20"/>
              </w:rPr>
              <w:t>CA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C46" w:rsidRPr="00161A8A" w:rsidRDefault="008E3D49">
            <w:pPr>
              <w:jc w:val="right"/>
              <w:rPr>
                <w:sz w:val="20"/>
                <w:szCs w:val="20"/>
              </w:rPr>
            </w:pPr>
            <w:r w:rsidRPr="00161A8A">
              <w:rPr>
                <w:sz w:val="20"/>
                <w:szCs w:val="20"/>
              </w:rPr>
              <w:t>€</w:t>
            </w:r>
            <w:r>
              <w:rPr>
                <w:sz w:val="20"/>
                <w:szCs w:val="20"/>
              </w:rPr>
              <w:t xml:space="preserve"> 290.452,81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620C46" w:rsidRPr="00161A8A" w:rsidRDefault="00620C46">
            <w:pPr>
              <w:jc w:val="right"/>
              <w:rPr>
                <w:sz w:val="20"/>
                <w:szCs w:val="20"/>
              </w:rPr>
            </w:pPr>
            <w:r w:rsidRPr="00161A8A">
              <w:rPr>
                <w:sz w:val="20"/>
                <w:szCs w:val="20"/>
              </w:rPr>
              <w:t> </w:t>
            </w:r>
          </w:p>
        </w:tc>
      </w:tr>
      <w:tr w:rsidR="00620C46" w:rsidRPr="00161A8A" w:rsidTr="00620C46">
        <w:trPr>
          <w:trHeight w:val="300"/>
          <w:jc w:val="center"/>
        </w:trPr>
        <w:tc>
          <w:tcPr>
            <w:tcW w:w="1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0C46" w:rsidRPr="00161A8A" w:rsidRDefault="00620C46">
            <w:pPr>
              <w:rPr>
                <w:sz w:val="20"/>
                <w:szCs w:val="20"/>
              </w:rPr>
            </w:pPr>
            <w:r w:rsidRPr="00161A8A">
              <w:rPr>
                <w:sz w:val="20"/>
                <w:szCs w:val="20"/>
              </w:rPr>
              <w:t>Variazioni in diminuzione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C46" w:rsidRPr="00161A8A" w:rsidRDefault="00620C46">
            <w:pPr>
              <w:jc w:val="center"/>
              <w:rPr>
                <w:sz w:val="20"/>
                <w:szCs w:val="20"/>
              </w:rPr>
            </w:pPr>
            <w:r w:rsidRPr="00161A8A">
              <w:rPr>
                <w:sz w:val="20"/>
                <w:szCs w:val="20"/>
              </w:rPr>
              <w:t>CO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620C46" w:rsidRPr="00161A8A" w:rsidRDefault="00620C46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C46" w:rsidRDefault="008E3D49">
            <w:pPr>
              <w:rPr>
                <w:sz w:val="20"/>
                <w:szCs w:val="20"/>
              </w:rPr>
            </w:pPr>
            <w:r w:rsidRPr="00161A8A">
              <w:rPr>
                <w:sz w:val="20"/>
                <w:szCs w:val="20"/>
              </w:rPr>
              <w:t>€</w:t>
            </w:r>
            <w:r>
              <w:rPr>
                <w:sz w:val="20"/>
                <w:szCs w:val="20"/>
              </w:rPr>
              <w:t xml:space="preserve"> 73.267,65</w:t>
            </w:r>
          </w:p>
        </w:tc>
      </w:tr>
      <w:tr w:rsidR="00620C46" w:rsidRPr="00161A8A" w:rsidTr="00620C46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0C46" w:rsidRPr="00161A8A" w:rsidRDefault="00620C46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C46" w:rsidRPr="00161A8A" w:rsidRDefault="00620C46">
            <w:pPr>
              <w:jc w:val="center"/>
              <w:rPr>
                <w:sz w:val="20"/>
                <w:szCs w:val="20"/>
              </w:rPr>
            </w:pPr>
            <w:r w:rsidRPr="00161A8A">
              <w:rPr>
                <w:sz w:val="20"/>
                <w:szCs w:val="20"/>
              </w:rPr>
              <w:t>CA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620C46" w:rsidRPr="00161A8A" w:rsidRDefault="00620C46">
            <w:pPr>
              <w:jc w:val="right"/>
              <w:rPr>
                <w:sz w:val="20"/>
                <w:szCs w:val="20"/>
              </w:rPr>
            </w:pPr>
            <w:r w:rsidRPr="00161A8A">
              <w:rPr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C46" w:rsidRPr="00161A8A" w:rsidRDefault="008E3D49">
            <w:pPr>
              <w:rPr>
                <w:sz w:val="20"/>
                <w:szCs w:val="20"/>
              </w:rPr>
            </w:pPr>
            <w:r w:rsidRPr="00161A8A">
              <w:rPr>
                <w:sz w:val="20"/>
                <w:szCs w:val="20"/>
              </w:rPr>
              <w:t>€</w:t>
            </w:r>
            <w:r>
              <w:rPr>
                <w:sz w:val="20"/>
                <w:szCs w:val="20"/>
              </w:rPr>
              <w:t xml:space="preserve"> 73.267,65</w:t>
            </w:r>
          </w:p>
        </w:tc>
      </w:tr>
      <w:tr w:rsidR="00620C46" w:rsidRPr="00161A8A" w:rsidTr="00620C46">
        <w:trPr>
          <w:trHeight w:val="300"/>
          <w:jc w:val="center"/>
        </w:trPr>
        <w:tc>
          <w:tcPr>
            <w:tcW w:w="1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0C46" w:rsidRPr="00161A8A" w:rsidRDefault="00620C46">
            <w:pPr>
              <w:jc w:val="right"/>
              <w:rPr>
                <w:sz w:val="20"/>
                <w:szCs w:val="20"/>
              </w:rPr>
            </w:pPr>
            <w:r w:rsidRPr="00161A8A">
              <w:rPr>
                <w:sz w:val="20"/>
                <w:szCs w:val="20"/>
              </w:rPr>
              <w:t xml:space="preserve">TOTALE A PAREGGIO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C46" w:rsidRPr="00161A8A" w:rsidRDefault="00620C46">
            <w:pPr>
              <w:jc w:val="center"/>
              <w:rPr>
                <w:sz w:val="20"/>
                <w:szCs w:val="20"/>
              </w:rPr>
            </w:pPr>
            <w:r w:rsidRPr="00161A8A">
              <w:rPr>
                <w:sz w:val="20"/>
                <w:szCs w:val="20"/>
              </w:rPr>
              <w:t>CO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C46" w:rsidRPr="00161A8A" w:rsidRDefault="00620C46">
            <w:pPr>
              <w:jc w:val="right"/>
              <w:rPr>
                <w:sz w:val="20"/>
                <w:szCs w:val="20"/>
              </w:rPr>
            </w:pPr>
            <w:r w:rsidRPr="00161A8A">
              <w:rPr>
                <w:sz w:val="20"/>
                <w:szCs w:val="20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C46" w:rsidRPr="00161A8A" w:rsidRDefault="00620C46">
            <w:pPr>
              <w:jc w:val="right"/>
              <w:rPr>
                <w:sz w:val="20"/>
                <w:szCs w:val="20"/>
              </w:rPr>
            </w:pPr>
            <w:r w:rsidRPr="00161A8A">
              <w:rPr>
                <w:sz w:val="20"/>
                <w:szCs w:val="20"/>
              </w:rPr>
              <w:t>0,00</w:t>
            </w:r>
          </w:p>
        </w:tc>
      </w:tr>
      <w:tr w:rsidR="00620C46" w:rsidRPr="00161A8A" w:rsidTr="008E3D49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0C46" w:rsidRPr="00161A8A" w:rsidRDefault="00620C46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20C46" w:rsidRPr="00161A8A" w:rsidRDefault="00620C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20C46" w:rsidRPr="00161A8A" w:rsidRDefault="00620C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20C46" w:rsidRPr="00161A8A" w:rsidRDefault="00620C46">
            <w:pPr>
              <w:jc w:val="right"/>
              <w:rPr>
                <w:sz w:val="20"/>
                <w:szCs w:val="20"/>
              </w:rPr>
            </w:pPr>
          </w:p>
        </w:tc>
      </w:tr>
      <w:tr w:rsidR="00620C46" w:rsidRPr="00161A8A" w:rsidTr="00853320">
        <w:trPr>
          <w:trHeight w:val="300"/>
          <w:jc w:val="center"/>
        </w:trPr>
        <w:tc>
          <w:tcPr>
            <w:tcW w:w="520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8E3D49" w:rsidRDefault="008E3D49" w:rsidP="00853320">
            <w:pPr>
              <w:jc w:val="center"/>
              <w:rPr>
                <w:sz w:val="20"/>
                <w:szCs w:val="20"/>
              </w:rPr>
            </w:pPr>
          </w:p>
          <w:p w:rsidR="008E3D49" w:rsidRDefault="008E3D49" w:rsidP="00853320">
            <w:pPr>
              <w:jc w:val="center"/>
              <w:rPr>
                <w:sz w:val="20"/>
                <w:szCs w:val="20"/>
              </w:rPr>
            </w:pPr>
          </w:p>
          <w:p w:rsidR="00620C46" w:rsidRPr="00161A8A" w:rsidRDefault="00620C46" w:rsidP="00853320">
            <w:pPr>
              <w:jc w:val="center"/>
              <w:rPr>
                <w:sz w:val="20"/>
                <w:szCs w:val="20"/>
              </w:rPr>
            </w:pPr>
            <w:r w:rsidRPr="00161A8A">
              <w:rPr>
                <w:sz w:val="20"/>
                <w:szCs w:val="20"/>
              </w:rPr>
              <w:t>202</w:t>
            </w:r>
            <w:r w:rsidR="00161A8A" w:rsidRPr="00161A8A">
              <w:rPr>
                <w:sz w:val="20"/>
                <w:szCs w:val="20"/>
              </w:rPr>
              <w:t>6</w:t>
            </w:r>
          </w:p>
        </w:tc>
      </w:tr>
      <w:tr w:rsidR="00620C46" w:rsidRPr="00161A8A" w:rsidTr="00853320">
        <w:trPr>
          <w:trHeight w:val="300"/>
          <w:jc w:val="center"/>
        </w:trPr>
        <w:tc>
          <w:tcPr>
            <w:tcW w:w="26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20C46" w:rsidRPr="00161A8A" w:rsidRDefault="00620C46" w:rsidP="00853320">
            <w:pPr>
              <w:jc w:val="center"/>
              <w:rPr>
                <w:sz w:val="20"/>
                <w:szCs w:val="20"/>
              </w:rPr>
            </w:pPr>
            <w:r w:rsidRPr="00161A8A">
              <w:rPr>
                <w:sz w:val="20"/>
                <w:szCs w:val="20"/>
              </w:rPr>
              <w:t>ENTRATA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C46" w:rsidRPr="00161A8A" w:rsidRDefault="00620C46" w:rsidP="00853320">
            <w:pPr>
              <w:jc w:val="center"/>
              <w:rPr>
                <w:sz w:val="20"/>
                <w:szCs w:val="20"/>
              </w:rPr>
            </w:pPr>
            <w:r w:rsidRPr="00161A8A">
              <w:rPr>
                <w:sz w:val="20"/>
                <w:szCs w:val="20"/>
              </w:rPr>
              <w:t>Importo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C46" w:rsidRPr="00161A8A" w:rsidRDefault="00620C46" w:rsidP="00853320">
            <w:pPr>
              <w:jc w:val="center"/>
              <w:rPr>
                <w:sz w:val="20"/>
                <w:szCs w:val="20"/>
              </w:rPr>
            </w:pPr>
            <w:r w:rsidRPr="00161A8A">
              <w:rPr>
                <w:sz w:val="20"/>
                <w:szCs w:val="20"/>
              </w:rPr>
              <w:t>Importo</w:t>
            </w:r>
          </w:p>
        </w:tc>
      </w:tr>
      <w:tr w:rsidR="00620C46" w:rsidRPr="00161A8A" w:rsidTr="00853320">
        <w:trPr>
          <w:trHeight w:val="300"/>
          <w:jc w:val="center"/>
        </w:trPr>
        <w:tc>
          <w:tcPr>
            <w:tcW w:w="1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0C46" w:rsidRPr="00161A8A" w:rsidRDefault="00620C46" w:rsidP="00853320">
            <w:pPr>
              <w:rPr>
                <w:sz w:val="20"/>
                <w:szCs w:val="20"/>
              </w:rPr>
            </w:pPr>
            <w:r w:rsidRPr="00161A8A">
              <w:rPr>
                <w:sz w:val="20"/>
                <w:szCs w:val="20"/>
              </w:rPr>
              <w:t>Variazioni in aumento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C46" w:rsidRPr="00161A8A" w:rsidRDefault="00620C46" w:rsidP="00853320">
            <w:pPr>
              <w:jc w:val="center"/>
              <w:rPr>
                <w:sz w:val="20"/>
                <w:szCs w:val="20"/>
              </w:rPr>
            </w:pPr>
            <w:r w:rsidRPr="00161A8A">
              <w:rPr>
                <w:sz w:val="20"/>
                <w:szCs w:val="20"/>
              </w:rPr>
              <w:t>CO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C46" w:rsidRPr="00161A8A" w:rsidRDefault="00620C46" w:rsidP="00853320">
            <w:pPr>
              <w:jc w:val="right"/>
              <w:rPr>
                <w:sz w:val="20"/>
                <w:szCs w:val="20"/>
              </w:rPr>
            </w:pPr>
            <w:r w:rsidRPr="00161A8A">
              <w:rPr>
                <w:sz w:val="20"/>
                <w:szCs w:val="20"/>
              </w:rPr>
              <w:t xml:space="preserve">€ </w:t>
            </w:r>
            <w:r w:rsidR="008E3D49">
              <w:rPr>
                <w:sz w:val="20"/>
                <w:szCs w:val="20"/>
              </w:rPr>
              <w:t>3.549,99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620C46" w:rsidRPr="00161A8A" w:rsidRDefault="00620C46" w:rsidP="00853320">
            <w:pPr>
              <w:jc w:val="right"/>
              <w:rPr>
                <w:sz w:val="20"/>
                <w:szCs w:val="20"/>
              </w:rPr>
            </w:pPr>
            <w:r w:rsidRPr="00161A8A">
              <w:rPr>
                <w:sz w:val="20"/>
                <w:szCs w:val="20"/>
              </w:rPr>
              <w:t> </w:t>
            </w:r>
          </w:p>
        </w:tc>
      </w:tr>
      <w:tr w:rsidR="00620C46" w:rsidRPr="00161A8A" w:rsidTr="00853320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0C46" w:rsidRPr="00161A8A" w:rsidRDefault="00620C46" w:rsidP="00853320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C46" w:rsidRPr="00161A8A" w:rsidRDefault="00620C46" w:rsidP="00853320">
            <w:pPr>
              <w:jc w:val="center"/>
              <w:rPr>
                <w:sz w:val="20"/>
                <w:szCs w:val="20"/>
              </w:rPr>
            </w:pPr>
            <w:r w:rsidRPr="00161A8A">
              <w:rPr>
                <w:sz w:val="20"/>
                <w:szCs w:val="20"/>
              </w:rPr>
              <w:t>CA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C46" w:rsidRPr="00161A8A" w:rsidRDefault="00620C46" w:rsidP="00853320">
            <w:pPr>
              <w:jc w:val="right"/>
              <w:rPr>
                <w:sz w:val="20"/>
                <w:szCs w:val="20"/>
              </w:rPr>
            </w:pPr>
            <w:r w:rsidRPr="00161A8A">
              <w:rPr>
                <w:sz w:val="20"/>
                <w:szCs w:val="20"/>
              </w:rPr>
              <w:t>€ 0,00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620C46" w:rsidRPr="00161A8A" w:rsidRDefault="00620C46" w:rsidP="00853320">
            <w:pPr>
              <w:jc w:val="right"/>
              <w:rPr>
                <w:sz w:val="20"/>
                <w:szCs w:val="20"/>
              </w:rPr>
            </w:pPr>
            <w:r w:rsidRPr="00161A8A">
              <w:rPr>
                <w:sz w:val="20"/>
                <w:szCs w:val="20"/>
              </w:rPr>
              <w:t> </w:t>
            </w:r>
          </w:p>
        </w:tc>
      </w:tr>
      <w:tr w:rsidR="00620C46" w:rsidRPr="00161A8A" w:rsidTr="00853320">
        <w:trPr>
          <w:trHeight w:val="300"/>
          <w:jc w:val="center"/>
        </w:trPr>
        <w:tc>
          <w:tcPr>
            <w:tcW w:w="1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0C46" w:rsidRPr="00161A8A" w:rsidRDefault="00620C46" w:rsidP="00853320">
            <w:pPr>
              <w:rPr>
                <w:sz w:val="20"/>
                <w:szCs w:val="20"/>
              </w:rPr>
            </w:pPr>
            <w:r w:rsidRPr="00161A8A">
              <w:rPr>
                <w:sz w:val="20"/>
                <w:szCs w:val="20"/>
              </w:rPr>
              <w:t>Variazioni in diminuzione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C46" w:rsidRPr="00161A8A" w:rsidRDefault="00620C46" w:rsidP="00853320">
            <w:pPr>
              <w:jc w:val="center"/>
              <w:rPr>
                <w:sz w:val="20"/>
                <w:szCs w:val="20"/>
              </w:rPr>
            </w:pPr>
            <w:r w:rsidRPr="00161A8A">
              <w:rPr>
                <w:sz w:val="20"/>
                <w:szCs w:val="20"/>
              </w:rPr>
              <w:t>CO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620C46" w:rsidRPr="00161A8A" w:rsidRDefault="00620C46" w:rsidP="00853320">
            <w:pPr>
              <w:jc w:val="right"/>
              <w:rPr>
                <w:sz w:val="20"/>
                <w:szCs w:val="20"/>
              </w:rPr>
            </w:pPr>
            <w:r w:rsidRPr="00161A8A">
              <w:rPr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C46" w:rsidRPr="00161A8A" w:rsidRDefault="00620C46" w:rsidP="00853320">
            <w:pPr>
              <w:rPr>
                <w:sz w:val="20"/>
                <w:szCs w:val="20"/>
              </w:rPr>
            </w:pPr>
          </w:p>
        </w:tc>
      </w:tr>
      <w:tr w:rsidR="00620C46" w:rsidRPr="00161A8A" w:rsidTr="00853320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0C46" w:rsidRPr="00161A8A" w:rsidRDefault="00620C46" w:rsidP="00853320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C46" w:rsidRPr="00161A8A" w:rsidRDefault="00620C46" w:rsidP="00853320">
            <w:pPr>
              <w:jc w:val="center"/>
              <w:rPr>
                <w:sz w:val="20"/>
                <w:szCs w:val="20"/>
              </w:rPr>
            </w:pPr>
            <w:r w:rsidRPr="00161A8A">
              <w:rPr>
                <w:sz w:val="20"/>
                <w:szCs w:val="20"/>
              </w:rPr>
              <w:t>CA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620C46" w:rsidRPr="00161A8A" w:rsidRDefault="00620C46" w:rsidP="00853320">
            <w:pPr>
              <w:jc w:val="right"/>
              <w:rPr>
                <w:sz w:val="20"/>
                <w:szCs w:val="20"/>
              </w:rPr>
            </w:pPr>
            <w:r w:rsidRPr="00161A8A">
              <w:rPr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C46" w:rsidRPr="00161A8A" w:rsidRDefault="00620C46" w:rsidP="00853320">
            <w:pPr>
              <w:rPr>
                <w:sz w:val="20"/>
                <w:szCs w:val="20"/>
              </w:rPr>
            </w:pPr>
          </w:p>
        </w:tc>
      </w:tr>
      <w:tr w:rsidR="00620C46" w:rsidRPr="00161A8A" w:rsidTr="00853320">
        <w:trPr>
          <w:trHeight w:val="300"/>
          <w:jc w:val="center"/>
        </w:trPr>
        <w:tc>
          <w:tcPr>
            <w:tcW w:w="26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620C46" w:rsidRPr="00161A8A" w:rsidRDefault="00620C46" w:rsidP="00853320">
            <w:pPr>
              <w:jc w:val="center"/>
              <w:rPr>
                <w:sz w:val="20"/>
                <w:szCs w:val="20"/>
              </w:rPr>
            </w:pPr>
            <w:r w:rsidRPr="00161A8A">
              <w:rPr>
                <w:sz w:val="20"/>
                <w:szCs w:val="20"/>
              </w:rPr>
              <w:t>SPESA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620C46" w:rsidRPr="00161A8A" w:rsidRDefault="00620C46" w:rsidP="00853320">
            <w:pPr>
              <w:jc w:val="right"/>
              <w:rPr>
                <w:sz w:val="20"/>
                <w:szCs w:val="20"/>
              </w:rPr>
            </w:pPr>
            <w:r w:rsidRPr="00161A8A">
              <w:rPr>
                <w:sz w:val="20"/>
                <w:szCs w:val="20"/>
              </w:rPr>
              <w:t>Importo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620C46" w:rsidRPr="00161A8A" w:rsidRDefault="00620C46" w:rsidP="00853320">
            <w:pPr>
              <w:jc w:val="right"/>
              <w:rPr>
                <w:sz w:val="20"/>
                <w:szCs w:val="20"/>
              </w:rPr>
            </w:pPr>
            <w:r w:rsidRPr="00161A8A">
              <w:rPr>
                <w:sz w:val="20"/>
                <w:szCs w:val="20"/>
              </w:rPr>
              <w:t>Importo</w:t>
            </w:r>
          </w:p>
        </w:tc>
      </w:tr>
      <w:tr w:rsidR="00620C46" w:rsidRPr="00161A8A" w:rsidTr="00853320">
        <w:trPr>
          <w:trHeight w:val="300"/>
          <w:jc w:val="center"/>
        </w:trPr>
        <w:tc>
          <w:tcPr>
            <w:tcW w:w="1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0C46" w:rsidRPr="00161A8A" w:rsidRDefault="00620C46" w:rsidP="00853320">
            <w:pPr>
              <w:rPr>
                <w:sz w:val="20"/>
                <w:szCs w:val="20"/>
              </w:rPr>
            </w:pPr>
            <w:r w:rsidRPr="00161A8A">
              <w:rPr>
                <w:sz w:val="20"/>
                <w:szCs w:val="20"/>
              </w:rPr>
              <w:t>Variazioni in aumento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C46" w:rsidRPr="00161A8A" w:rsidRDefault="00620C46" w:rsidP="00853320">
            <w:pPr>
              <w:jc w:val="center"/>
              <w:rPr>
                <w:sz w:val="20"/>
                <w:szCs w:val="20"/>
              </w:rPr>
            </w:pPr>
            <w:r w:rsidRPr="00161A8A">
              <w:rPr>
                <w:sz w:val="20"/>
                <w:szCs w:val="20"/>
              </w:rPr>
              <w:t>CO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C46" w:rsidRPr="00161A8A" w:rsidRDefault="00620C46" w:rsidP="00853320">
            <w:pPr>
              <w:jc w:val="right"/>
              <w:rPr>
                <w:sz w:val="20"/>
                <w:szCs w:val="20"/>
              </w:rPr>
            </w:pPr>
            <w:r w:rsidRPr="00161A8A">
              <w:rPr>
                <w:sz w:val="20"/>
                <w:szCs w:val="20"/>
              </w:rPr>
              <w:t xml:space="preserve">€ </w:t>
            </w:r>
            <w:r w:rsidR="008E3D49">
              <w:rPr>
                <w:sz w:val="20"/>
                <w:szCs w:val="20"/>
              </w:rPr>
              <w:t>3.549,99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620C46" w:rsidRPr="00161A8A" w:rsidRDefault="00620C46" w:rsidP="00853320">
            <w:pPr>
              <w:jc w:val="right"/>
              <w:rPr>
                <w:sz w:val="20"/>
                <w:szCs w:val="20"/>
              </w:rPr>
            </w:pPr>
            <w:r w:rsidRPr="00161A8A">
              <w:rPr>
                <w:sz w:val="20"/>
                <w:szCs w:val="20"/>
              </w:rPr>
              <w:t> </w:t>
            </w:r>
          </w:p>
        </w:tc>
      </w:tr>
      <w:tr w:rsidR="00620C46" w:rsidRPr="00161A8A" w:rsidTr="00853320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0C46" w:rsidRPr="00161A8A" w:rsidRDefault="00620C46" w:rsidP="00853320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C46" w:rsidRPr="00161A8A" w:rsidRDefault="00620C46" w:rsidP="00853320">
            <w:pPr>
              <w:jc w:val="center"/>
              <w:rPr>
                <w:sz w:val="20"/>
                <w:szCs w:val="20"/>
              </w:rPr>
            </w:pPr>
            <w:r w:rsidRPr="00161A8A">
              <w:rPr>
                <w:sz w:val="20"/>
                <w:szCs w:val="20"/>
              </w:rPr>
              <w:t>CA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C46" w:rsidRPr="00161A8A" w:rsidRDefault="00620C46" w:rsidP="00853320">
            <w:pPr>
              <w:jc w:val="right"/>
              <w:rPr>
                <w:sz w:val="20"/>
                <w:szCs w:val="20"/>
              </w:rPr>
            </w:pPr>
            <w:r w:rsidRPr="00161A8A">
              <w:rPr>
                <w:sz w:val="20"/>
                <w:szCs w:val="20"/>
              </w:rPr>
              <w:t>€ 0,00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620C46" w:rsidRPr="00161A8A" w:rsidRDefault="00620C46" w:rsidP="00853320">
            <w:pPr>
              <w:jc w:val="right"/>
              <w:rPr>
                <w:sz w:val="20"/>
                <w:szCs w:val="20"/>
              </w:rPr>
            </w:pPr>
            <w:r w:rsidRPr="00161A8A">
              <w:rPr>
                <w:sz w:val="20"/>
                <w:szCs w:val="20"/>
              </w:rPr>
              <w:t> </w:t>
            </w:r>
          </w:p>
        </w:tc>
      </w:tr>
      <w:tr w:rsidR="00620C46" w:rsidRPr="00161A8A" w:rsidTr="00853320">
        <w:trPr>
          <w:trHeight w:val="300"/>
          <w:jc w:val="center"/>
        </w:trPr>
        <w:tc>
          <w:tcPr>
            <w:tcW w:w="1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0C46" w:rsidRPr="00161A8A" w:rsidRDefault="00620C46" w:rsidP="00853320">
            <w:pPr>
              <w:rPr>
                <w:sz w:val="20"/>
                <w:szCs w:val="20"/>
              </w:rPr>
            </w:pPr>
            <w:r w:rsidRPr="00161A8A">
              <w:rPr>
                <w:sz w:val="20"/>
                <w:szCs w:val="20"/>
              </w:rPr>
              <w:t>Variazioni in diminuzione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C46" w:rsidRPr="00161A8A" w:rsidRDefault="00620C46" w:rsidP="00853320">
            <w:pPr>
              <w:jc w:val="center"/>
              <w:rPr>
                <w:sz w:val="20"/>
                <w:szCs w:val="20"/>
              </w:rPr>
            </w:pPr>
            <w:r w:rsidRPr="00161A8A">
              <w:rPr>
                <w:sz w:val="20"/>
                <w:szCs w:val="20"/>
              </w:rPr>
              <w:t>CO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620C46" w:rsidRPr="00161A8A" w:rsidRDefault="00620C46" w:rsidP="00853320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C46" w:rsidRDefault="00620C46" w:rsidP="00853320">
            <w:pPr>
              <w:rPr>
                <w:sz w:val="20"/>
                <w:szCs w:val="20"/>
              </w:rPr>
            </w:pPr>
            <w:r w:rsidRPr="00161A8A">
              <w:rPr>
                <w:sz w:val="20"/>
                <w:szCs w:val="20"/>
              </w:rPr>
              <w:t>0,00</w:t>
            </w:r>
          </w:p>
        </w:tc>
      </w:tr>
      <w:tr w:rsidR="00620C46" w:rsidRPr="00161A8A" w:rsidTr="00853320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0C46" w:rsidRPr="00161A8A" w:rsidRDefault="00620C46" w:rsidP="00853320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C46" w:rsidRPr="00161A8A" w:rsidRDefault="00620C46" w:rsidP="00853320">
            <w:pPr>
              <w:jc w:val="center"/>
              <w:rPr>
                <w:sz w:val="20"/>
                <w:szCs w:val="20"/>
              </w:rPr>
            </w:pPr>
            <w:r w:rsidRPr="00161A8A">
              <w:rPr>
                <w:sz w:val="20"/>
                <w:szCs w:val="20"/>
              </w:rPr>
              <w:t>CA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620C46" w:rsidRPr="00161A8A" w:rsidRDefault="00620C46" w:rsidP="00853320">
            <w:pPr>
              <w:jc w:val="right"/>
              <w:rPr>
                <w:sz w:val="20"/>
                <w:szCs w:val="20"/>
              </w:rPr>
            </w:pPr>
            <w:r w:rsidRPr="00161A8A">
              <w:rPr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C46" w:rsidRPr="00161A8A" w:rsidRDefault="00620C46" w:rsidP="00853320">
            <w:pPr>
              <w:rPr>
                <w:sz w:val="20"/>
                <w:szCs w:val="20"/>
              </w:rPr>
            </w:pPr>
            <w:r w:rsidRPr="00161A8A">
              <w:rPr>
                <w:sz w:val="20"/>
                <w:szCs w:val="20"/>
              </w:rPr>
              <w:t>0,00</w:t>
            </w:r>
          </w:p>
        </w:tc>
      </w:tr>
      <w:tr w:rsidR="00620C46" w:rsidRPr="00161A8A" w:rsidTr="00853320">
        <w:trPr>
          <w:trHeight w:val="300"/>
          <w:jc w:val="center"/>
        </w:trPr>
        <w:tc>
          <w:tcPr>
            <w:tcW w:w="1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0C46" w:rsidRPr="00161A8A" w:rsidRDefault="00620C46" w:rsidP="00853320">
            <w:pPr>
              <w:jc w:val="right"/>
              <w:rPr>
                <w:sz w:val="20"/>
                <w:szCs w:val="20"/>
              </w:rPr>
            </w:pPr>
            <w:r w:rsidRPr="00161A8A">
              <w:rPr>
                <w:sz w:val="20"/>
                <w:szCs w:val="20"/>
              </w:rPr>
              <w:t xml:space="preserve">TOTALE A </w:t>
            </w:r>
            <w:r w:rsidRPr="00161A8A">
              <w:rPr>
                <w:sz w:val="20"/>
                <w:szCs w:val="20"/>
              </w:rPr>
              <w:lastRenderedPageBreak/>
              <w:t xml:space="preserve">PAREGGIO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C46" w:rsidRPr="00161A8A" w:rsidRDefault="00620C46" w:rsidP="00853320">
            <w:pPr>
              <w:jc w:val="center"/>
              <w:rPr>
                <w:sz w:val="20"/>
                <w:szCs w:val="20"/>
              </w:rPr>
            </w:pPr>
            <w:r w:rsidRPr="00161A8A">
              <w:rPr>
                <w:sz w:val="20"/>
                <w:szCs w:val="20"/>
              </w:rPr>
              <w:lastRenderedPageBreak/>
              <w:t>CO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C46" w:rsidRPr="00161A8A" w:rsidRDefault="00620C46" w:rsidP="00853320">
            <w:pPr>
              <w:jc w:val="right"/>
              <w:rPr>
                <w:sz w:val="20"/>
                <w:szCs w:val="20"/>
              </w:rPr>
            </w:pPr>
            <w:r w:rsidRPr="00161A8A">
              <w:rPr>
                <w:sz w:val="20"/>
                <w:szCs w:val="20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C46" w:rsidRPr="00161A8A" w:rsidRDefault="00620C46" w:rsidP="00853320">
            <w:pPr>
              <w:jc w:val="right"/>
              <w:rPr>
                <w:sz w:val="20"/>
                <w:szCs w:val="20"/>
              </w:rPr>
            </w:pPr>
            <w:r w:rsidRPr="00161A8A">
              <w:rPr>
                <w:sz w:val="20"/>
                <w:szCs w:val="20"/>
              </w:rPr>
              <w:t>0,00</w:t>
            </w:r>
          </w:p>
        </w:tc>
      </w:tr>
      <w:tr w:rsidR="00620C46" w:rsidRPr="00161A8A" w:rsidTr="008E3D49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0C46" w:rsidRPr="00161A8A" w:rsidRDefault="00620C46" w:rsidP="00853320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20C46" w:rsidRPr="00161A8A" w:rsidRDefault="00620C46" w:rsidP="008533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20C46" w:rsidRPr="00161A8A" w:rsidRDefault="00620C46" w:rsidP="00853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20C46" w:rsidRPr="00161A8A" w:rsidRDefault="00620C46" w:rsidP="00853320">
            <w:pPr>
              <w:jc w:val="right"/>
              <w:rPr>
                <w:sz w:val="20"/>
                <w:szCs w:val="20"/>
              </w:rPr>
            </w:pPr>
          </w:p>
        </w:tc>
      </w:tr>
    </w:tbl>
    <w:p w:rsidR="00E846B0" w:rsidRPr="00161A8A" w:rsidRDefault="00E846B0" w:rsidP="00D873CB">
      <w:pPr>
        <w:jc w:val="both"/>
        <w:rPr>
          <w:sz w:val="20"/>
          <w:szCs w:val="20"/>
        </w:rPr>
      </w:pPr>
    </w:p>
    <w:p w:rsidR="00161A8A" w:rsidRPr="00161A8A" w:rsidRDefault="00161A8A" w:rsidP="00D873CB">
      <w:pPr>
        <w:jc w:val="both"/>
        <w:rPr>
          <w:sz w:val="20"/>
          <w:szCs w:val="20"/>
        </w:rPr>
      </w:pPr>
    </w:p>
    <w:p w:rsidR="00161A8A" w:rsidRPr="00161A8A" w:rsidRDefault="00161A8A" w:rsidP="00D873CB">
      <w:pPr>
        <w:jc w:val="both"/>
        <w:rPr>
          <w:sz w:val="20"/>
          <w:szCs w:val="20"/>
        </w:rPr>
      </w:pPr>
    </w:p>
    <w:p w:rsidR="00D873CB" w:rsidRPr="00161A8A" w:rsidRDefault="00D873CB" w:rsidP="00D873CB">
      <w:pPr>
        <w:jc w:val="both"/>
        <w:rPr>
          <w:sz w:val="20"/>
          <w:szCs w:val="20"/>
        </w:rPr>
      </w:pPr>
      <w:r w:rsidRPr="00161A8A">
        <w:rPr>
          <w:b/>
          <w:bCs/>
          <w:sz w:val="20"/>
          <w:szCs w:val="20"/>
        </w:rPr>
        <w:t>Appurato che</w:t>
      </w:r>
      <w:r w:rsidRPr="00161A8A">
        <w:rPr>
          <w:sz w:val="20"/>
          <w:szCs w:val="20"/>
        </w:rPr>
        <w:t>, ai sensi dell’articolo 187, comma 2 del d.Lgs. n. 267/2000, l’avanzo di amministrazione accertato può essere utilizzato con il seguente ordine di priorità:</w:t>
      </w:r>
    </w:p>
    <w:p w:rsidR="00D873CB" w:rsidRPr="00161A8A" w:rsidRDefault="00D873CB" w:rsidP="00D873CB">
      <w:pPr>
        <w:numPr>
          <w:ilvl w:val="0"/>
          <w:numId w:val="4"/>
        </w:numPr>
        <w:tabs>
          <w:tab w:val="clear" w:pos="720"/>
        </w:tabs>
        <w:ind w:left="360"/>
        <w:jc w:val="both"/>
        <w:rPr>
          <w:sz w:val="20"/>
          <w:szCs w:val="20"/>
        </w:rPr>
      </w:pPr>
      <w:r w:rsidRPr="00161A8A">
        <w:rPr>
          <w:sz w:val="20"/>
          <w:szCs w:val="20"/>
        </w:rPr>
        <w:t>per la copertura di debiti fuori bilancio;</w:t>
      </w:r>
    </w:p>
    <w:p w:rsidR="00D873CB" w:rsidRPr="00161A8A" w:rsidRDefault="00D873CB" w:rsidP="00D873CB">
      <w:pPr>
        <w:numPr>
          <w:ilvl w:val="0"/>
          <w:numId w:val="4"/>
        </w:numPr>
        <w:tabs>
          <w:tab w:val="clear" w:pos="720"/>
        </w:tabs>
        <w:ind w:left="360"/>
        <w:jc w:val="both"/>
        <w:rPr>
          <w:sz w:val="20"/>
          <w:szCs w:val="20"/>
        </w:rPr>
      </w:pPr>
      <w:r w:rsidRPr="00161A8A">
        <w:rPr>
          <w:sz w:val="20"/>
          <w:szCs w:val="20"/>
        </w:rPr>
        <w:t>per i provvedimenti necessari per la salvaguardia degli equilibri di bilancio di cui all’art. 193, qualora non si possa provvedere con mezzi ordinari;</w:t>
      </w:r>
    </w:p>
    <w:p w:rsidR="00D873CB" w:rsidRPr="00161A8A" w:rsidRDefault="00D873CB" w:rsidP="00D873CB">
      <w:pPr>
        <w:numPr>
          <w:ilvl w:val="0"/>
          <w:numId w:val="4"/>
        </w:numPr>
        <w:tabs>
          <w:tab w:val="clear" w:pos="720"/>
        </w:tabs>
        <w:ind w:left="357" w:hanging="357"/>
        <w:jc w:val="both"/>
        <w:rPr>
          <w:sz w:val="20"/>
          <w:szCs w:val="20"/>
        </w:rPr>
      </w:pPr>
      <w:r w:rsidRPr="00161A8A">
        <w:rPr>
          <w:sz w:val="20"/>
          <w:szCs w:val="20"/>
        </w:rPr>
        <w:t>per il finanziamento delle spese di investimento;</w:t>
      </w:r>
    </w:p>
    <w:p w:rsidR="00D873CB" w:rsidRPr="00161A8A" w:rsidRDefault="00D873CB" w:rsidP="00D873CB">
      <w:pPr>
        <w:numPr>
          <w:ilvl w:val="0"/>
          <w:numId w:val="4"/>
        </w:numPr>
        <w:tabs>
          <w:tab w:val="clear" w:pos="720"/>
        </w:tabs>
        <w:ind w:left="357" w:hanging="357"/>
        <w:jc w:val="both"/>
        <w:rPr>
          <w:sz w:val="20"/>
          <w:szCs w:val="20"/>
        </w:rPr>
      </w:pPr>
      <w:r w:rsidRPr="00161A8A">
        <w:rPr>
          <w:sz w:val="20"/>
          <w:szCs w:val="20"/>
        </w:rPr>
        <w:t>per il finanziamento di spese correnti a carattere non permanente;</w:t>
      </w:r>
    </w:p>
    <w:p w:rsidR="00D873CB" w:rsidRPr="00161A8A" w:rsidRDefault="00D873CB" w:rsidP="00D873CB">
      <w:pPr>
        <w:numPr>
          <w:ilvl w:val="0"/>
          <w:numId w:val="4"/>
        </w:numPr>
        <w:tabs>
          <w:tab w:val="clear" w:pos="720"/>
        </w:tabs>
        <w:ind w:left="357" w:hanging="357"/>
        <w:jc w:val="both"/>
        <w:rPr>
          <w:sz w:val="20"/>
          <w:szCs w:val="20"/>
        </w:rPr>
      </w:pPr>
      <w:r w:rsidRPr="00161A8A">
        <w:rPr>
          <w:sz w:val="20"/>
          <w:szCs w:val="20"/>
        </w:rPr>
        <w:t>per l’estinzione anticipata di prestiti;</w:t>
      </w:r>
    </w:p>
    <w:p w:rsidR="00980E4B" w:rsidRPr="000611AF" w:rsidRDefault="00980E4B">
      <w:pPr>
        <w:jc w:val="both"/>
        <w:rPr>
          <w:sz w:val="20"/>
          <w:szCs w:val="20"/>
        </w:rPr>
      </w:pPr>
    </w:p>
    <w:p w:rsidR="009931FA" w:rsidRPr="006E6F36" w:rsidRDefault="009931FA" w:rsidP="009931FA">
      <w:pPr>
        <w:pStyle w:val="Corpodeltesto"/>
        <w:spacing w:after="0"/>
        <w:ind w:left="357" w:hanging="357"/>
        <w:jc w:val="both"/>
        <w:rPr>
          <w:sz w:val="20"/>
          <w:szCs w:val="20"/>
        </w:rPr>
      </w:pPr>
      <w:r w:rsidRPr="00911D58">
        <w:rPr>
          <w:b/>
          <w:bCs/>
          <w:sz w:val="20"/>
          <w:szCs w:val="20"/>
        </w:rPr>
        <w:t>Preso atto che</w:t>
      </w:r>
      <w:r w:rsidRPr="006E6F36">
        <w:rPr>
          <w:sz w:val="20"/>
          <w:szCs w:val="20"/>
        </w:rPr>
        <w:t>:</w:t>
      </w:r>
    </w:p>
    <w:p w:rsidR="009931FA" w:rsidRPr="000611AF" w:rsidRDefault="009931FA" w:rsidP="009931FA">
      <w:pPr>
        <w:numPr>
          <w:ilvl w:val="0"/>
          <w:numId w:val="5"/>
        </w:numPr>
        <w:jc w:val="both"/>
        <w:rPr>
          <w:sz w:val="20"/>
        </w:rPr>
      </w:pPr>
      <w:r w:rsidRPr="000611AF">
        <w:rPr>
          <w:sz w:val="20"/>
        </w:rPr>
        <w:t>ai sensi del comma 3-bis dell’articolo 187, è vietato utilizzare l’avanzo di amministrazione nel caso in cui l’ente faccia ricorso all’anticipazione di tesoreria ovvero utilizzi in termini di cassa entrate aventi specifica destinazione;</w:t>
      </w:r>
    </w:p>
    <w:p w:rsidR="00D873CB" w:rsidRPr="000611AF" w:rsidRDefault="00D873CB">
      <w:pPr>
        <w:jc w:val="both"/>
        <w:rPr>
          <w:sz w:val="20"/>
          <w:szCs w:val="20"/>
        </w:rPr>
      </w:pPr>
    </w:p>
    <w:p w:rsidR="00362B59" w:rsidRPr="000611AF" w:rsidRDefault="00362B59" w:rsidP="00362B59">
      <w:pPr>
        <w:jc w:val="both"/>
        <w:rPr>
          <w:sz w:val="20"/>
          <w:szCs w:val="20"/>
        </w:rPr>
      </w:pPr>
      <w:r w:rsidRPr="00161A8A">
        <w:rPr>
          <w:b/>
          <w:bCs/>
          <w:sz w:val="20"/>
          <w:szCs w:val="20"/>
        </w:rPr>
        <w:t xml:space="preserve">Vista </w:t>
      </w:r>
      <w:r w:rsidRPr="000611AF">
        <w:rPr>
          <w:sz w:val="20"/>
          <w:szCs w:val="20"/>
        </w:rPr>
        <w:t>la documentazione acquisita agli atti dell’ufficio;</w:t>
      </w:r>
    </w:p>
    <w:p w:rsidR="00362B59" w:rsidRPr="000611AF" w:rsidRDefault="00362B59" w:rsidP="00362B59">
      <w:pPr>
        <w:jc w:val="both"/>
        <w:rPr>
          <w:sz w:val="20"/>
          <w:szCs w:val="20"/>
        </w:rPr>
      </w:pPr>
    </w:p>
    <w:p w:rsidR="00362B59" w:rsidRPr="000611AF" w:rsidRDefault="00362B59" w:rsidP="00362B59">
      <w:pPr>
        <w:jc w:val="both"/>
        <w:rPr>
          <w:sz w:val="20"/>
          <w:szCs w:val="20"/>
        </w:rPr>
      </w:pPr>
      <w:r w:rsidRPr="00161A8A">
        <w:rPr>
          <w:b/>
          <w:bCs/>
          <w:sz w:val="20"/>
          <w:szCs w:val="20"/>
        </w:rPr>
        <w:t>Visto</w:t>
      </w:r>
      <w:r w:rsidRPr="000611AF">
        <w:rPr>
          <w:sz w:val="20"/>
          <w:szCs w:val="20"/>
        </w:rPr>
        <w:t xml:space="preserve"> il parere del responsabile del servizio finanziario rilasciato ai sensi dell’art. 153, comma 4, del D.Lgs. n. 267/00;</w:t>
      </w:r>
    </w:p>
    <w:p w:rsidR="004874D1" w:rsidRPr="000611AF" w:rsidRDefault="004874D1">
      <w:pPr>
        <w:jc w:val="both"/>
        <w:rPr>
          <w:sz w:val="20"/>
          <w:szCs w:val="20"/>
        </w:rPr>
      </w:pPr>
    </w:p>
    <w:p w:rsidR="00823578" w:rsidRPr="000611AF" w:rsidRDefault="00823578" w:rsidP="00823578">
      <w:pPr>
        <w:pStyle w:val="Titolo1"/>
        <w:rPr>
          <w:sz w:val="20"/>
          <w:szCs w:val="20"/>
        </w:rPr>
      </w:pPr>
      <w:r w:rsidRPr="000611AF">
        <w:rPr>
          <w:sz w:val="20"/>
          <w:szCs w:val="20"/>
        </w:rPr>
        <w:t>OSSERVATO</w:t>
      </w:r>
    </w:p>
    <w:p w:rsidR="00823578" w:rsidRPr="000611AF" w:rsidRDefault="00823578" w:rsidP="00823578">
      <w:pPr>
        <w:rPr>
          <w:sz w:val="20"/>
          <w:szCs w:val="20"/>
        </w:rPr>
      </w:pPr>
    </w:p>
    <w:p w:rsidR="00823578" w:rsidRPr="000611AF" w:rsidRDefault="00823578" w:rsidP="00823578">
      <w:pPr>
        <w:jc w:val="both"/>
        <w:rPr>
          <w:sz w:val="20"/>
          <w:szCs w:val="20"/>
        </w:rPr>
      </w:pPr>
      <w:r w:rsidRPr="000611AF">
        <w:rPr>
          <w:sz w:val="20"/>
          <w:szCs w:val="20"/>
        </w:rPr>
        <w:t>in relazione alla congruità, coerenza e attendibilità contabile delle previsioni:</w:t>
      </w:r>
    </w:p>
    <w:p w:rsidR="00823578" w:rsidRPr="000611AF" w:rsidRDefault="00823578" w:rsidP="00823578">
      <w:pPr>
        <w:numPr>
          <w:ilvl w:val="0"/>
          <w:numId w:val="7"/>
        </w:numPr>
        <w:jc w:val="both"/>
        <w:rPr>
          <w:sz w:val="20"/>
          <w:szCs w:val="20"/>
        </w:rPr>
      </w:pPr>
      <w:r w:rsidRPr="000611AF">
        <w:rPr>
          <w:sz w:val="20"/>
          <w:szCs w:val="20"/>
        </w:rPr>
        <w:t>che le variazioni di spesa sono compatibili con le esigenze dei singoli servizi;</w:t>
      </w:r>
    </w:p>
    <w:p w:rsidR="00823578" w:rsidRPr="000611AF" w:rsidRDefault="00823578" w:rsidP="00823578">
      <w:pPr>
        <w:rPr>
          <w:sz w:val="20"/>
          <w:szCs w:val="20"/>
        </w:rPr>
      </w:pPr>
    </w:p>
    <w:p w:rsidR="00823578" w:rsidRPr="000611AF" w:rsidRDefault="00823578" w:rsidP="00823578">
      <w:pPr>
        <w:spacing w:line="320" w:lineRule="atLeast"/>
        <w:jc w:val="both"/>
        <w:rPr>
          <w:sz w:val="20"/>
          <w:szCs w:val="20"/>
        </w:rPr>
      </w:pPr>
      <w:r w:rsidRPr="000611AF">
        <w:rPr>
          <w:sz w:val="20"/>
          <w:szCs w:val="20"/>
        </w:rPr>
        <w:t>in relazione ai vincoli di finanza pubblica:</w:t>
      </w:r>
    </w:p>
    <w:p w:rsidR="00823578" w:rsidRPr="000611AF" w:rsidRDefault="00823578" w:rsidP="00823578">
      <w:pPr>
        <w:numPr>
          <w:ilvl w:val="0"/>
          <w:numId w:val="8"/>
        </w:numPr>
        <w:rPr>
          <w:sz w:val="20"/>
          <w:szCs w:val="20"/>
        </w:rPr>
      </w:pPr>
      <w:r w:rsidRPr="000611AF">
        <w:rPr>
          <w:sz w:val="20"/>
          <w:szCs w:val="20"/>
        </w:rPr>
        <w:t xml:space="preserve">si </w:t>
      </w:r>
      <w:r w:rsidR="002D5780" w:rsidRPr="000611AF">
        <w:rPr>
          <w:sz w:val="20"/>
          <w:szCs w:val="20"/>
        </w:rPr>
        <w:t>dà</w:t>
      </w:r>
      <w:r w:rsidRPr="000611AF">
        <w:rPr>
          <w:sz w:val="20"/>
        </w:rPr>
        <w:t>atto del permanere degli equilibri di bilancio nonché del rispetto dei vincoli di finanza pubblica</w:t>
      </w:r>
    </w:p>
    <w:p w:rsidR="00823578" w:rsidRPr="000611AF" w:rsidRDefault="00823578" w:rsidP="00823578">
      <w:pPr>
        <w:rPr>
          <w:sz w:val="20"/>
          <w:szCs w:val="20"/>
        </w:rPr>
      </w:pPr>
    </w:p>
    <w:p w:rsidR="00823578" w:rsidRPr="000611AF" w:rsidRDefault="00823578" w:rsidP="00823578">
      <w:pPr>
        <w:rPr>
          <w:sz w:val="20"/>
          <w:szCs w:val="20"/>
        </w:rPr>
      </w:pPr>
      <w:r w:rsidRPr="00161A8A">
        <w:rPr>
          <w:b/>
          <w:bCs/>
          <w:sz w:val="20"/>
          <w:szCs w:val="20"/>
        </w:rPr>
        <w:t>Visto</w:t>
      </w:r>
      <w:r w:rsidRPr="000611AF">
        <w:rPr>
          <w:sz w:val="20"/>
          <w:szCs w:val="20"/>
        </w:rPr>
        <w:t xml:space="preserve"> il D.Lgs. n. 267/2000;</w:t>
      </w:r>
    </w:p>
    <w:p w:rsidR="00823578" w:rsidRPr="000611AF" w:rsidRDefault="00823578" w:rsidP="00823578">
      <w:pPr>
        <w:rPr>
          <w:sz w:val="20"/>
          <w:szCs w:val="20"/>
        </w:rPr>
      </w:pPr>
      <w:r w:rsidRPr="00161A8A">
        <w:rPr>
          <w:b/>
          <w:bCs/>
          <w:sz w:val="20"/>
          <w:szCs w:val="20"/>
        </w:rPr>
        <w:t>Visto</w:t>
      </w:r>
      <w:r w:rsidRPr="000611AF">
        <w:rPr>
          <w:sz w:val="20"/>
          <w:szCs w:val="20"/>
        </w:rPr>
        <w:t xml:space="preserve"> il D.Lgs. n. 118/2011;</w:t>
      </w:r>
    </w:p>
    <w:p w:rsidR="00823578" w:rsidRPr="000611AF" w:rsidRDefault="00823578" w:rsidP="00823578">
      <w:pPr>
        <w:rPr>
          <w:sz w:val="20"/>
          <w:szCs w:val="20"/>
        </w:rPr>
      </w:pPr>
      <w:r w:rsidRPr="00161A8A">
        <w:rPr>
          <w:b/>
          <w:bCs/>
          <w:sz w:val="20"/>
          <w:szCs w:val="20"/>
        </w:rPr>
        <w:t xml:space="preserve">Visto </w:t>
      </w:r>
      <w:r w:rsidRPr="000611AF">
        <w:rPr>
          <w:sz w:val="20"/>
          <w:szCs w:val="20"/>
        </w:rPr>
        <w:t>lo Statuto Comunale;</w:t>
      </w:r>
    </w:p>
    <w:p w:rsidR="00823578" w:rsidRPr="000611AF" w:rsidRDefault="00823578" w:rsidP="00823578">
      <w:pPr>
        <w:rPr>
          <w:sz w:val="20"/>
          <w:szCs w:val="20"/>
        </w:rPr>
      </w:pPr>
      <w:r w:rsidRPr="00161A8A">
        <w:rPr>
          <w:b/>
          <w:bCs/>
          <w:sz w:val="20"/>
          <w:szCs w:val="20"/>
        </w:rPr>
        <w:t xml:space="preserve">Visto </w:t>
      </w:r>
      <w:r w:rsidRPr="000611AF">
        <w:rPr>
          <w:sz w:val="20"/>
          <w:szCs w:val="20"/>
        </w:rPr>
        <w:t>il vigente Regolamento comunale di contabilità;</w:t>
      </w:r>
    </w:p>
    <w:p w:rsidR="004874D1" w:rsidRPr="000611AF" w:rsidRDefault="004874D1">
      <w:pPr>
        <w:rPr>
          <w:sz w:val="20"/>
          <w:szCs w:val="20"/>
        </w:rPr>
      </w:pPr>
    </w:p>
    <w:p w:rsidR="00823578" w:rsidRPr="000611AF" w:rsidRDefault="00823578" w:rsidP="00823578">
      <w:pPr>
        <w:pStyle w:val="Titolo2"/>
        <w:rPr>
          <w:b/>
          <w:bCs/>
          <w:i w:val="0"/>
          <w:iCs w:val="0"/>
          <w:sz w:val="20"/>
          <w:szCs w:val="20"/>
        </w:rPr>
      </w:pPr>
      <w:r w:rsidRPr="000611AF">
        <w:rPr>
          <w:b/>
          <w:bCs/>
          <w:i w:val="0"/>
          <w:iCs w:val="0"/>
          <w:sz w:val="20"/>
          <w:szCs w:val="20"/>
        </w:rPr>
        <w:t>ESPRIME</w:t>
      </w:r>
    </w:p>
    <w:p w:rsidR="00823578" w:rsidRPr="000611AF" w:rsidRDefault="00823578" w:rsidP="00823578">
      <w:pPr>
        <w:rPr>
          <w:sz w:val="20"/>
          <w:szCs w:val="20"/>
        </w:rPr>
      </w:pPr>
    </w:p>
    <w:p w:rsidR="00823578" w:rsidRPr="000611AF" w:rsidRDefault="00823578" w:rsidP="00823578">
      <w:pPr>
        <w:rPr>
          <w:sz w:val="20"/>
          <w:szCs w:val="20"/>
        </w:rPr>
      </w:pPr>
      <w:r w:rsidRPr="000611AF">
        <w:rPr>
          <w:sz w:val="20"/>
          <w:szCs w:val="20"/>
        </w:rPr>
        <w:t xml:space="preserve">parere </w:t>
      </w:r>
      <w:r w:rsidRPr="000611AF">
        <w:rPr>
          <w:sz w:val="20"/>
          <w:szCs w:val="20"/>
          <w:u w:val="single"/>
        </w:rPr>
        <w:t xml:space="preserve">   FAVOREVOLE       </w:t>
      </w:r>
      <w:r w:rsidRPr="000611AF">
        <w:rPr>
          <w:sz w:val="20"/>
          <w:szCs w:val="20"/>
        </w:rPr>
        <w:t xml:space="preserve">  sulla proposta di deliberazione in oggetto.</w:t>
      </w:r>
    </w:p>
    <w:p w:rsidR="0098131A" w:rsidRPr="000611AF" w:rsidRDefault="0098131A" w:rsidP="0098131A">
      <w:pPr>
        <w:jc w:val="both"/>
        <w:rPr>
          <w:sz w:val="20"/>
          <w:szCs w:val="20"/>
        </w:rPr>
      </w:pPr>
    </w:p>
    <w:p w:rsidR="0098131A" w:rsidRPr="000611AF" w:rsidRDefault="0098131A" w:rsidP="000611AF">
      <w:pPr>
        <w:jc w:val="right"/>
        <w:rPr>
          <w:sz w:val="20"/>
          <w:szCs w:val="20"/>
        </w:rPr>
      </w:pPr>
      <w:r w:rsidRPr="000611AF">
        <w:rPr>
          <w:sz w:val="20"/>
          <w:szCs w:val="20"/>
        </w:rPr>
        <w:t>Il Revisore</w:t>
      </w:r>
    </w:p>
    <w:p w:rsidR="000611AF" w:rsidRPr="000611AF" w:rsidRDefault="000611AF" w:rsidP="000611AF">
      <w:pPr>
        <w:jc w:val="right"/>
        <w:rPr>
          <w:sz w:val="20"/>
          <w:szCs w:val="20"/>
        </w:rPr>
      </w:pPr>
      <w:r w:rsidRPr="000611AF">
        <w:rPr>
          <w:sz w:val="20"/>
          <w:szCs w:val="20"/>
        </w:rPr>
        <w:t>D</w:t>
      </w:r>
      <w:r w:rsidR="008B1CD2">
        <w:rPr>
          <w:sz w:val="20"/>
          <w:szCs w:val="20"/>
        </w:rPr>
        <w:t>ott</w:t>
      </w:r>
      <w:r w:rsidRPr="000611AF">
        <w:rPr>
          <w:sz w:val="20"/>
          <w:szCs w:val="20"/>
        </w:rPr>
        <w:t>.ssa Nicolina Cattari</w:t>
      </w:r>
    </w:p>
    <w:p w:rsidR="000611AF" w:rsidRPr="000611AF" w:rsidRDefault="001F123B">
      <w:pPr>
        <w:jc w:val="right"/>
        <w:rPr>
          <w:sz w:val="20"/>
          <w:szCs w:val="20"/>
        </w:rPr>
      </w:pPr>
      <w:r w:rsidRPr="001F123B">
        <w:rPr>
          <w:noProof/>
          <w:sz w:val="20"/>
          <w:szCs w:val="20"/>
        </w:rPr>
        <w:drawing>
          <wp:inline distT="0" distB="0" distL="0" distR="0">
            <wp:extent cx="1445342" cy="712136"/>
            <wp:effectExtent l="19050" t="0" r="2458" b="0"/>
            <wp:docPr id="1" name="Immagine 1" descr="F:\22.11.2013\fallimento\firma%20nicolin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F:\22.11.2013\fallimento\firma%20nicolin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523" cy="71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611AF" w:rsidRPr="000611AF" w:rsidSect="00E846B0">
      <w:pgSz w:w="11906" w:h="16838"/>
      <w:pgMar w:top="0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1010" w:rsidRDefault="00A51010" w:rsidP="00A42233">
      <w:r>
        <w:separator/>
      </w:r>
    </w:p>
  </w:endnote>
  <w:endnote w:type="continuationSeparator" w:id="1">
    <w:p w:rsidR="00A51010" w:rsidRDefault="00A51010" w:rsidP="00A422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1010" w:rsidRDefault="00A51010" w:rsidP="00A42233">
      <w:r>
        <w:separator/>
      </w:r>
    </w:p>
  </w:footnote>
  <w:footnote w:type="continuationSeparator" w:id="1">
    <w:p w:rsidR="00A51010" w:rsidRDefault="00A51010" w:rsidP="00A422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B3868F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eastAsia="Wingdings" w:cs="Wingdings"/>
        <w:sz w:val="20"/>
      </w:rPr>
    </w:lvl>
  </w:abstractNum>
  <w:abstractNum w:abstractNumId="3">
    <w:nsid w:val="00000004"/>
    <w:multiLevelType w:val="singleLevel"/>
    <w:tmpl w:val="00000004"/>
    <w:name w:val="WW8Num5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4">
    <w:nsid w:val="00000005"/>
    <w:multiLevelType w:val="single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717"/>
        </w:tabs>
        <w:ind w:left="703" w:hanging="346"/>
      </w:pPr>
      <w:rPr>
        <w:rFonts w:ascii="Symbol" w:hAnsi="Symbol" w:cs="Symbol" w:hint="default"/>
      </w:rPr>
    </w:lvl>
  </w:abstractNum>
  <w:abstractNum w:abstractNumId="5">
    <w:nsid w:val="00000006"/>
    <w:multiLevelType w:val="singleLevel"/>
    <w:tmpl w:val="00000006"/>
    <w:name w:val="WW8Num9"/>
    <w:lvl w:ilvl="0">
      <w:start w:val="1"/>
      <w:numFmt w:val="bullet"/>
      <w:lvlText w:val=""/>
      <w:lvlJc w:val="left"/>
      <w:pPr>
        <w:tabs>
          <w:tab w:val="num" w:pos="717"/>
        </w:tabs>
        <w:ind w:left="703" w:hanging="346"/>
      </w:pPr>
      <w:rPr>
        <w:rFonts w:ascii="Symbol" w:hAnsi="Symbol" w:cs="Symbol" w:hint="default"/>
        <w:sz w:val="20"/>
        <w:szCs w:val="20"/>
      </w:rPr>
    </w:lvl>
  </w:abstractNum>
  <w:abstractNum w:abstractNumId="6">
    <w:nsid w:val="06BF6C11"/>
    <w:multiLevelType w:val="hybridMultilevel"/>
    <w:tmpl w:val="3358FD74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78E7E58"/>
    <w:multiLevelType w:val="hybridMultilevel"/>
    <w:tmpl w:val="8DB60A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9A76FC6"/>
    <w:multiLevelType w:val="hybridMultilevel"/>
    <w:tmpl w:val="0C36D82E"/>
    <w:lvl w:ilvl="0" w:tplc="6C8A5E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61005D"/>
    <w:multiLevelType w:val="hybridMultilevel"/>
    <w:tmpl w:val="60FE6A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2C4B97"/>
    <w:multiLevelType w:val="hybridMultilevel"/>
    <w:tmpl w:val="49A4A5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8B425C"/>
    <w:multiLevelType w:val="hybridMultilevel"/>
    <w:tmpl w:val="9E48BCE0"/>
    <w:lvl w:ilvl="0" w:tplc="5DAAC89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76777E5"/>
    <w:multiLevelType w:val="hybridMultilevel"/>
    <w:tmpl w:val="CF38121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811E12"/>
    <w:multiLevelType w:val="hybridMultilevel"/>
    <w:tmpl w:val="EE1E8B6E"/>
    <w:lvl w:ilvl="0" w:tplc="B56C8E62">
      <w:start w:val="7"/>
      <w:numFmt w:val="bullet"/>
      <w:lvlText w:val="-"/>
      <w:lvlJc w:val="left"/>
      <w:pPr>
        <w:ind w:left="720" w:hanging="360"/>
      </w:pPr>
      <w:rPr>
        <w:rFonts w:ascii="Arial" w:eastAsia="Wingdings" w:hAnsi="Arial" w:cs="Aria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FC970A8"/>
    <w:multiLevelType w:val="hybridMultilevel"/>
    <w:tmpl w:val="79F08D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6139F6"/>
    <w:multiLevelType w:val="hybridMultilevel"/>
    <w:tmpl w:val="C584FB66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C59611A"/>
    <w:multiLevelType w:val="hybridMultilevel"/>
    <w:tmpl w:val="FF02967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4"/>
  </w:num>
  <w:num w:numId="3">
    <w:abstractNumId w:val="0"/>
  </w:num>
  <w:num w:numId="4">
    <w:abstractNumId w:val="16"/>
  </w:num>
  <w:num w:numId="5">
    <w:abstractNumId w:val="9"/>
  </w:num>
  <w:num w:numId="6">
    <w:abstractNumId w:val="6"/>
  </w:num>
  <w:num w:numId="7">
    <w:abstractNumId w:val="10"/>
  </w:num>
  <w:num w:numId="8">
    <w:abstractNumId w:val="7"/>
  </w:num>
  <w:num w:numId="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5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</w:num>
  <w:num w:numId="15">
    <w:abstractNumId w:val="3"/>
    <w:lvlOverride w:ilvl="0">
      <w:startOverride w:val="3"/>
    </w:lvlOverride>
  </w:num>
  <w:num w:numId="16">
    <w:abstractNumId w:val="8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12DD"/>
    <w:rsid w:val="000138C1"/>
    <w:rsid w:val="000320B2"/>
    <w:rsid w:val="000611AF"/>
    <w:rsid w:val="0008477F"/>
    <w:rsid w:val="000C5297"/>
    <w:rsid w:val="000F2DBE"/>
    <w:rsid w:val="000F561E"/>
    <w:rsid w:val="00161A8A"/>
    <w:rsid w:val="001A00BF"/>
    <w:rsid w:val="001F123B"/>
    <w:rsid w:val="0021597D"/>
    <w:rsid w:val="002D5780"/>
    <w:rsid w:val="002D6F4B"/>
    <w:rsid w:val="002E6F9E"/>
    <w:rsid w:val="00350C47"/>
    <w:rsid w:val="00362B59"/>
    <w:rsid w:val="00393607"/>
    <w:rsid w:val="004159A3"/>
    <w:rsid w:val="00463043"/>
    <w:rsid w:val="004874D1"/>
    <w:rsid w:val="004953A0"/>
    <w:rsid w:val="004B23C8"/>
    <w:rsid w:val="004C4DD4"/>
    <w:rsid w:val="005033EA"/>
    <w:rsid w:val="00507143"/>
    <w:rsid w:val="00523CED"/>
    <w:rsid w:val="00535D37"/>
    <w:rsid w:val="005A5833"/>
    <w:rsid w:val="00610FF6"/>
    <w:rsid w:val="00620C46"/>
    <w:rsid w:val="006447F7"/>
    <w:rsid w:val="006A77D8"/>
    <w:rsid w:val="006E6F36"/>
    <w:rsid w:val="00707FFE"/>
    <w:rsid w:val="0077750E"/>
    <w:rsid w:val="007E450A"/>
    <w:rsid w:val="0082080C"/>
    <w:rsid w:val="00823578"/>
    <w:rsid w:val="008822FF"/>
    <w:rsid w:val="008B1CD2"/>
    <w:rsid w:val="008C6183"/>
    <w:rsid w:val="008E3D49"/>
    <w:rsid w:val="008F33FD"/>
    <w:rsid w:val="00902FF4"/>
    <w:rsid w:val="00911D58"/>
    <w:rsid w:val="00980E4B"/>
    <w:rsid w:val="0098131A"/>
    <w:rsid w:val="009931FA"/>
    <w:rsid w:val="009B6FD2"/>
    <w:rsid w:val="009C7E19"/>
    <w:rsid w:val="00A05225"/>
    <w:rsid w:val="00A05DDB"/>
    <w:rsid w:val="00A42233"/>
    <w:rsid w:val="00A4386A"/>
    <w:rsid w:val="00A51010"/>
    <w:rsid w:val="00A63DCE"/>
    <w:rsid w:val="00A95906"/>
    <w:rsid w:val="00AD6A76"/>
    <w:rsid w:val="00AD70CB"/>
    <w:rsid w:val="00B257FA"/>
    <w:rsid w:val="00B912DD"/>
    <w:rsid w:val="00BD74B1"/>
    <w:rsid w:val="00BE70CF"/>
    <w:rsid w:val="00C53D13"/>
    <w:rsid w:val="00C670A0"/>
    <w:rsid w:val="00C84F6F"/>
    <w:rsid w:val="00C911A4"/>
    <w:rsid w:val="00CF7509"/>
    <w:rsid w:val="00D54545"/>
    <w:rsid w:val="00D611D9"/>
    <w:rsid w:val="00D873CB"/>
    <w:rsid w:val="00D934B5"/>
    <w:rsid w:val="00DB64AA"/>
    <w:rsid w:val="00DD3DA9"/>
    <w:rsid w:val="00E018E1"/>
    <w:rsid w:val="00E23CD6"/>
    <w:rsid w:val="00E544DC"/>
    <w:rsid w:val="00E663B7"/>
    <w:rsid w:val="00E846B0"/>
    <w:rsid w:val="00EB5208"/>
    <w:rsid w:val="00EC2136"/>
    <w:rsid w:val="00EC6C2C"/>
    <w:rsid w:val="00EE7350"/>
    <w:rsid w:val="00EF0DDA"/>
    <w:rsid w:val="00EF785C"/>
    <w:rsid w:val="00F02D6F"/>
    <w:rsid w:val="00F05AC7"/>
    <w:rsid w:val="00F12A84"/>
    <w:rsid w:val="00F14733"/>
    <w:rsid w:val="00FB43BB"/>
    <w:rsid w:val="00FE797D"/>
    <w:rsid w:val="00FE7E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05225"/>
    <w:rPr>
      <w:sz w:val="24"/>
      <w:szCs w:val="24"/>
    </w:rPr>
  </w:style>
  <w:style w:type="paragraph" w:styleId="Titolo1">
    <w:name w:val="heading 1"/>
    <w:basedOn w:val="Normale"/>
    <w:next w:val="Normale"/>
    <w:qFormat/>
    <w:rsid w:val="00A05225"/>
    <w:pPr>
      <w:keepNext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rsid w:val="00A05225"/>
    <w:pPr>
      <w:keepNext/>
      <w:jc w:val="center"/>
      <w:outlineLvl w:val="1"/>
    </w:pPr>
    <w:rPr>
      <w:i/>
      <w:iCs/>
    </w:rPr>
  </w:style>
  <w:style w:type="paragraph" w:styleId="Titolo3">
    <w:name w:val="heading 3"/>
    <w:basedOn w:val="Normale"/>
    <w:next w:val="Normale"/>
    <w:qFormat/>
    <w:rsid w:val="00A05225"/>
    <w:pPr>
      <w:keepNext/>
      <w:jc w:val="center"/>
      <w:outlineLvl w:val="2"/>
    </w:pPr>
    <w:rPr>
      <w:sz w:val="28"/>
    </w:rPr>
  </w:style>
  <w:style w:type="paragraph" w:styleId="Titolo4">
    <w:name w:val="heading 4"/>
    <w:basedOn w:val="Normale"/>
    <w:next w:val="Normale"/>
    <w:qFormat/>
    <w:rsid w:val="00A05225"/>
    <w:pPr>
      <w:keepNext/>
      <w:spacing w:line="360" w:lineRule="auto"/>
      <w:jc w:val="both"/>
      <w:outlineLvl w:val="3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semiHidden/>
    <w:rsid w:val="00A05225"/>
    <w:pPr>
      <w:jc w:val="both"/>
    </w:pPr>
  </w:style>
  <w:style w:type="paragraph" w:styleId="Didascalia">
    <w:name w:val="caption"/>
    <w:basedOn w:val="Normale"/>
    <w:next w:val="Normale"/>
    <w:qFormat/>
    <w:rsid w:val="00A05225"/>
    <w:pPr>
      <w:spacing w:line="360" w:lineRule="auto"/>
      <w:jc w:val="both"/>
    </w:pPr>
    <w:rPr>
      <w:b/>
      <w:bCs/>
    </w:rPr>
  </w:style>
  <w:style w:type="character" w:customStyle="1" w:styleId="provvnumart">
    <w:name w:val="provv_numart"/>
    <w:rsid w:val="009C7E19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A4223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A42233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A4223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A42233"/>
    <w:rPr>
      <w:sz w:val="24"/>
      <w:szCs w:val="24"/>
    </w:r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9931FA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9931FA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00B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A00BF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1A00B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1299</Words>
  <Characters>7574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________________________________________________</vt:lpstr>
    </vt:vector>
  </TitlesOfParts>
  <Company/>
  <LinksUpToDate>false</LinksUpToDate>
  <CharactersWithSpaces>8856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________________________________________________</dc:title>
  <dc:creator>Luca Vannoni</dc:creator>
  <cp:lastModifiedBy>segreteria</cp:lastModifiedBy>
  <cp:revision>2</cp:revision>
  <cp:lastPrinted>2025-11-28T07:46:00Z</cp:lastPrinted>
  <dcterms:created xsi:type="dcterms:W3CDTF">2025-11-28T07:46:00Z</dcterms:created>
  <dcterms:modified xsi:type="dcterms:W3CDTF">2025-11-28T07:46:00Z</dcterms:modified>
</cp:coreProperties>
</file>